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A4904" w:rsidR="007F48C7" w:rsidP="4C5B719C" w:rsidRDefault="0011270D" w14:paraId="390701D2" w14:textId="544EE813">
      <w:pPr>
        <w:pStyle w:val="Kop1"/>
        <w:numPr>
          <w:ilvl w:val="0"/>
          <w:numId w:val="0"/>
        </w:numPr>
        <w:ind w:left="360" w:hanging="360"/>
        <w:rPr>
          <w:sz w:val="24"/>
          <w:szCs w:val="24"/>
        </w:rPr>
      </w:pPr>
      <w:bookmarkStart w:name="_Ref351365733" w:id="0"/>
      <w:bookmarkStart w:name="_Ref437270549" w:id="1"/>
      <w:bookmarkStart w:name="_Toc495681063" w:id="2"/>
      <w:bookmarkStart w:name="_Toc2708907" w:id="3"/>
      <w:r w:rsidRPr="4C5B719C">
        <w:rPr>
          <w:sz w:val="24"/>
          <w:szCs w:val="24"/>
        </w:rPr>
        <w:t xml:space="preserve">Bijlage </w:t>
      </w:r>
      <w:r w:rsidRPr="4C5B719C" w:rsidR="51EC9ECC">
        <w:rPr>
          <w:sz w:val="24"/>
          <w:szCs w:val="24"/>
        </w:rPr>
        <w:t>C</w:t>
      </w:r>
      <w:r w:rsidRPr="4C5B719C">
        <w:rPr>
          <w:sz w:val="24"/>
          <w:szCs w:val="24"/>
        </w:rPr>
        <w:t xml:space="preserve"> </w:t>
      </w:r>
      <w:r w:rsidRPr="4C5B719C" w:rsidR="5107C12A">
        <w:rPr>
          <w:sz w:val="24"/>
          <w:szCs w:val="24"/>
        </w:rPr>
        <w:t xml:space="preserve">Programma van Eisen. </w:t>
      </w:r>
      <w:bookmarkEnd w:id="0"/>
      <w:bookmarkEnd w:id="1"/>
      <w:bookmarkEnd w:id="2"/>
      <w:bookmarkEnd w:id="3"/>
    </w:p>
    <w:p w:rsidR="00844A05" w:rsidP="007F48C7" w:rsidRDefault="00844A05" w14:paraId="0D439058" w14:textId="77777777">
      <w:pPr>
        <w:rPr>
          <w:rFonts w:cs="Arial"/>
        </w:rPr>
      </w:pPr>
    </w:p>
    <w:p w:rsidR="4D75605C" w:rsidP="4C5B719C" w:rsidRDefault="4D75605C" w14:paraId="3CAF9CE2" w14:textId="26FBA36B">
      <w:pPr>
        <w:rPr>
          <w:rFonts w:eastAsia="Arial" w:cs="Arial"/>
          <w:color w:val="000000" w:themeColor="text1"/>
          <w:szCs w:val="20"/>
        </w:rPr>
      </w:pPr>
      <w:r w:rsidRPr="4C5B719C">
        <w:rPr>
          <w:rFonts w:eastAsia="Arial" w:cs="Arial"/>
          <w:color w:val="000000" w:themeColor="text1"/>
          <w:szCs w:val="20"/>
        </w:rPr>
        <w:t>Algemene eisen</w:t>
      </w:r>
    </w:p>
    <w:p w:rsidR="4C5B719C" w:rsidP="4C5B719C" w:rsidRDefault="4C5B719C" w14:paraId="3E9B7747" w14:textId="40D3B495">
      <w:pPr>
        <w:rPr>
          <w:rFonts w:cs="Arial"/>
        </w:rPr>
      </w:pPr>
    </w:p>
    <w:tbl>
      <w:tblPr>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992"/>
        <w:gridCol w:w="7210"/>
        <w:gridCol w:w="854"/>
      </w:tblGrid>
      <w:tr w:rsidR="4C5B719C" w:rsidTr="4C5B719C" w14:paraId="6284518D" w14:textId="77777777">
        <w:trPr>
          <w:trHeight w:val="300"/>
        </w:trPr>
        <w:tc>
          <w:tcPr>
            <w:tcW w:w="69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26C26812" w14:textId="27458DF9">
            <w:pPr>
              <w:rPr>
                <w:rFonts w:eastAsia="Arial" w:cs="Arial"/>
                <w:b/>
                <w:bCs/>
                <w:color w:val="000000" w:themeColor="text1"/>
                <w:szCs w:val="20"/>
              </w:rPr>
            </w:pPr>
            <w:r w:rsidRPr="4C5B719C">
              <w:rPr>
                <w:rFonts w:eastAsia="Arial" w:cs="Arial"/>
                <w:b/>
                <w:bCs/>
                <w:color w:val="000000" w:themeColor="text1"/>
                <w:szCs w:val="20"/>
              </w:rPr>
              <w:t>Nummer</w:t>
            </w:r>
          </w:p>
        </w:tc>
        <w:tc>
          <w:tcPr>
            <w:tcW w:w="8025"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114E2640" w14:textId="6AD18B3F">
            <w:pPr>
              <w:rPr>
                <w:rFonts w:eastAsia="Arial" w:cs="Arial"/>
                <w:b/>
                <w:bCs/>
                <w:color w:val="000000" w:themeColor="text1"/>
                <w:szCs w:val="20"/>
              </w:rPr>
            </w:pPr>
            <w:r w:rsidRPr="4C5B719C">
              <w:rPr>
                <w:rFonts w:eastAsia="Arial" w:cs="Arial"/>
                <w:b/>
                <w:bCs/>
                <w:color w:val="000000" w:themeColor="text1"/>
                <w:szCs w:val="20"/>
              </w:rPr>
              <w:t>Eis</w:t>
            </w:r>
          </w:p>
        </w:tc>
        <w:tc>
          <w:tcPr>
            <w:tcW w:w="90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14F82527" w14:textId="2FF5D7E5">
            <w:pPr>
              <w:rPr>
                <w:rFonts w:eastAsia="Arial" w:cs="Arial"/>
                <w:b/>
                <w:bCs/>
                <w:color w:val="000000" w:themeColor="text1"/>
                <w:szCs w:val="20"/>
              </w:rPr>
            </w:pPr>
            <w:r w:rsidRPr="4C5B719C">
              <w:rPr>
                <w:rFonts w:eastAsia="Arial" w:cs="Arial"/>
                <w:b/>
                <w:bCs/>
                <w:color w:val="000000" w:themeColor="text1"/>
                <w:szCs w:val="20"/>
              </w:rPr>
              <w:t>Ja / Nee</w:t>
            </w:r>
          </w:p>
        </w:tc>
      </w:tr>
      <w:tr w:rsidR="4C5B719C" w:rsidTr="4C5B719C" w14:paraId="3AA0733A"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B0E1249" w14:textId="22EB3FCB">
            <w:pPr>
              <w:rPr>
                <w:rFonts w:eastAsia="Arial" w:cs="Arial"/>
                <w:color w:val="000000" w:themeColor="text1"/>
                <w:szCs w:val="20"/>
              </w:rPr>
            </w:pPr>
            <w:r w:rsidRPr="4C5B719C">
              <w:rPr>
                <w:rFonts w:eastAsia="Arial" w:cs="Arial"/>
                <w:color w:val="000000" w:themeColor="text1"/>
                <w:szCs w:val="20"/>
              </w:rPr>
              <w:t>ae-1</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A84AA3E" w14:textId="2545006E">
            <w:pPr>
              <w:rPr>
                <w:rFonts w:eastAsia="Arial" w:cs="Arial"/>
                <w:color w:val="000000" w:themeColor="text1"/>
                <w:szCs w:val="20"/>
              </w:rPr>
            </w:pPr>
            <w:r w:rsidRPr="4C5B719C">
              <w:rPr>
                <w:rFonts w:eastAsia="Arial" w:cs="Arial"/>
                <w:color w:val="000000" w:themeColor="text1"/>
                <w:szCs w:val="20"/>
              </w:rPr>
              <w:t>De inschrijving is duidelijk en zonder voorbehoud opgesteld.</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92A2736" w14:textId="7EFA1074">
            <w:pPr>
              <w:rPr>
                <w:rFonts w:ascii="Calibri" w:hAnsi="Calibri" w:eastAsia="Calibri" w:cs="Calibri"/>
                <w:color w:val="000000" w:themeColor="text1"/>
                <w:sz w:val="21"/>
                <w:szCs w:val="21"/>
              </w:rPr>
            </w:pPr>
          </w:p>
        </w:tc>
      </w:tr>
      <w:tr w:rsidR="4C5B719C" w:rsidTr="4C5B719C" w14:paraId="0E9C58D7"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3141CA5" w14:textId="26A0A0DA">
            <w:pPr>
              <w:rPr>
                <w:rFonts w:eastAsia="Arial" w:cs="Arial"/>
                <w:color w:val="000000" w:themeColor="text1"/>
                <w:szCs w:val="20"/>
              </w:rPr>
            </w:pPr>
            <w:r w:rsidRPr="4C5B719C">
              <w:rPr>
                <w:rFonts w:eastAsia="Arial" w:cs="Arial"/>
                <w:color w:val="000000" w:themeColor="text1"/>
                <w:szCs w:val="20"/>
              </w:rPr>
              <w:t>ae-2</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E2A90D0" w14:textId="263CB070">
            <w:pPr>
              <w:rPr>
                <w:rFonts w:eastAsia="Arial" w:cs="Arial"/>
                <w:color w:val="000000" w:themeColor="text1"/>
                <w:szCs w:val="20"/>
              </w:rPr>
            </w:pPr>
            <w:r w:rsidRPr="4C5B719C">
              <w:rPr>
                <w:rFonts w:eastAsia="Arial" w:cs="Arial"/>
                <w:color w:val="000000" w:themeColor="text1"/>
                <w:szCs w:val="20"/>
              </w:rPr>
              <w:t>Inschrijver gaat vertrouwelijk om met alle informatie die zij op de een of andere wijze in het kader van deze aanbesteding, dan wel afgesloten overeenkomst verkrijgt en stelt zonder toestemming van opdrachtgever geen informatie aan derden beschikbaar.</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D0CECDF" w14:textId="40759AF1">
            <w:pPr>
              <w:rPr>
                <w:rFonts w:ascii="Calibri" w:hAnsi="Calibri" w:eastAsia="Calibri" w:cs="Calibri"/>
                <w:color w:val="000000" w:themeColor="text1"/>
                <w:sz w:val="21"/>
                <w:szCs w:val="21"/>
              </w:rPr>
            </w:pPr>
          </w:p>
        </w:tc>
      </w:tr>
      <w:tr w:rsidR="4C5B719C" w:rsidTr="4C5B719C" w14:paraId="34F5A6C0"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A010009" w14:textId="3D82460D">
            <w:pPr>
              <w:rPr>
                <w:rFonts w:eastAsia="Arial" w:cs="Arial"/>
                <w:color w:val="000000" w:themeColor="text1"/>
                <w:szCs w:val="20"/>
              </w:rPr>
            </w:pPr>
            <w:r w:rsidRPr="4C5B719C">
              <w:rPr>
                <w:rFonts w:eastAsia="Arial" w:cs="Arial"/>
                <w:color w:val="000000" w:themeColor="text1"/>
                <w:szCs w:val="20"/>
              </w:rPr>
              <w:t>ae-3</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B2FC5A6" w14:textId="41F7DA5E">
            <w:pPr>
              <w:rPr>
                <w:rFonts w:eastAsia="Arial" w:cs="Arial"/>
                <w:color w:val="000000" w:themeColor="text1"/>
                <w:szCs w:val="20"/>
              </w:rPr>
            </w:pPr>
            <w:r w:rsidRPr="4C5B719C">
              <w:rPr>
                <w:rFonts w:eastAsia="Arial" w:cs="Arial"/>
                <w:color w:val="000000" w:themeColor="text1"/>
                <w:szCs w:val="20"/>
              </w:rPr>
              <w:t>Inschrijver zet uitsluitend gekwalificeerd personeel in voor het uitvoeren van de werkzaamheden. Bij gebruik van derden zet inschrijver uitsluitend gecertificeerde "partijen" in.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E75FC5F" w14:textId="574000A3">
            <w:pPr>
              <w:rPr>
                <w:rFonts w:ascii="Calibri" w:hAnsi="Calibri" w:eastAsia="Calibri" w:cs="Calibri"/>
                <w:color w:val="000000" w:themeColor="text1"/>
                <w:sz w:val="21"/>
                <w:szCs w:val="21"/>
              </w:rPr>
            </w:pPr>
          </w:p>
        </w:tc>
      </w:tr>
      <w:tr w:rsidR="4C5B719C" w:rsidTr="4C5B719C" w14:paraId="10FFB5C1"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9F95C27" w14:textId="78349B88">
            <w:pPr>
              <w:rPr>
                <w:rFonts w:eastAsia="Arial" w:cs="Arial"/>
                <w:color w:val="000000" w:themeColor="text1"/>
                <w:szCs w:val="20"/>
              </w:rPr>
            </w:pPr>
            <w:r w:rsidRPr="4C5B719C">
              <w:rPr>
                <w:rFonts w:eastAsia="Arial" w:cs="Arial"/>
                <w:color w:val="000000" w:themeColor="text1"/>
                <w:szCs w:val="20"/>
              </w:rPr>
              <w:t>ae-4</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CAB1E50" w14:textId="250FF80A">
            <w:pPr>
              <w:rPr>
                <w:rFonts w:eastAsia="Arial" w:cs="Arial"/>
                <w:color w:val="000000" w:themeColor="text1"/>
                <w:szCs w:val="20"/>
              </w:rPr>
            </w:pPr>
            <w:r w:rsidRPr="4C5B719C">
              <w:rPr>
                <w:rFonts w:eastAsia="Arial" w:cs="Arial"/>
                <w:color w:val="000000" w:themeColor="text1"/>
                <w:szCs w:val="20"/>
              </w:rPr>
              <w:t>Inschrijver gaat ermee akkoord dat voor aanvullende vragen er gedurende het proces gewerkt gaat worden met één centraal punt voor informatie-uitwisseling.</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89D9579" w14:textId="5FC78C5D">
            <w:pPr>
              <w:rPr>
                <w:rFonts w:ascii="Calibri" w:hAnsi="Calibri" w:eastAsia="Calibri" w:cs="Calibri"/>
                <w:color w:val="000000" w:themeColor="text1"/>
                <w:sz w:val="21"/>
                <w:szCs w:val="21"/>
              </w:rPr>
            </w:pPr>
          </w:p>
        </w:tc>
      </w:tr>
      <w:tr w:rsidR="4C5B719C" w:rsidTr="4C5B719C" w14:paraId="7A395414"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8D815A8" w14:textId="563B99D7">
            <w:pPr>
              <w:rPr>
                <w:rFonts w:eastAsia="Arial" w:cs="Arial"/>
                <w:color w:val="000000" w:themeColor="text1"/>
                <w:szCs w:val="20"/>
              </w:rPr>
            </w:pPr>
            <w:r w:rsidRPr="4C5B719C">
              <w:rPr>
                <w:rFonts w:eastAsia="Arial" w:cs="Arial"/>
                <w:color w:val="000000" w:themeColor="text1"/>
                <w:szCs w:val="20"/>
              </w:rPr>
              <w:t>ae-5</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A40412C" w14:textId="51CCF67E">
            <w:pPr>
              <w:rPr>
                <w:rFonts w:eastAsia="Arial" w:cs="Arial"/>
                <w:color w:val="000000" w:themeColor="text1"/>
                <w:szCs w:val="20"/>
              </w:rPr>
            </w:pPr>
            <w:r w:rsidRPr="4C5B719C">
              <w:rPr>
                <w:rFonts w:eastAsia="Arial" w:cs="Arial"/>
                <w:color w:val="000000" w:themeColor="text1"/>
                <w:szCs w:val="20"/>
              </w:rPr>
              <w:t>Inschrijver verklaart dat er geen sprake is van conflicterende belangen in het kader van het onderzoek in relatie tot eventuele werkzaamheden uitgevoerd voor de gemeente Zuidplas in het verleden.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CE2C20B" w14:textId="38F472D5">
            <w:pPr>
              <w:rPr>
                <w:rFonts w:ascii="Calibri" w:hAnsi="Calibri" w:eastAsia="Calibri" w:cs="Calibri"/>
                <w:color w:val="000000" w:themeColor="text1"/>
                <w:sz w:val="21"/>
                <w:szCs w:val="21"/>
              </w:rPr>
            </w:pPr>
          </w:p>
        </w:tc>
      </w:tr>
      <w:tr w:rsidR="4C5B719C" w:rsidTr="4C5B719C" w14:paraId="09104AFE"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2813E13" w14:textId="4975093B">
            <w:pPr>
              <w:rPr>
                <w:rFonts w:eastAsia="Arial" w:cs="Arial"/>
                <w:color w:val="000000" w:themeColor="text1"/>
                <w:szCs w:val="20"/>
              </w:rPr>
            </w:pPr>
            <w:r w:rsidRPr="4C5B719C">
              <w:rPr>
                <w:rFonts w:eastAsia="Arial" w:cs="Arial"/>
                <w:color w:val="000000" w:themeColor="text1"/>
                <w:szCs w:val="20"/>
              </w:rPr>
              <w:t>ae-6</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1BFA970" w14:textId="4F75128C">
            <w:pPr>
              <w:rPr>
                <w:rFonts w:eastAsia="Arial" w:cs="Arial"/>
                <w:color w:val="000000" w:themeColor="text1"/>
                <w:szCs w:val="20"/>
              </w:rPr>
            </w:pPr>
            <w:r w:rsidRPr="4C5B719C">
              <w:rPr>
                <w:rFonts w:eastAsia="Arial" w:cs="Arial"/>
                <w:color w:val="000000" w:themeColor="text1"/>
                <w:szCs w:val="20"/>
              </w:rPr>
              <w:t>Ingeval een verzekeraar met meerdere intermediairs samenwerkt en volmachten heeft gegeven, dan kan een inschrijvende intermediair als volmachtnemer van deze verzekeraar, geen blokkering vragen aan de volmachtgever jegens andere intermediairs die ook wensen in te schrijven met hun eigen volmacht.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BD1C54F" w14:textId="3542A29A">
            <w:pPr>
              <w:rPr>
                <w:rFonts w:ascii="Calibri" w:hAnsi="Calibri" w:eastAsia="Calibri" w:cs="Calibri"/>
                <w:color w:val="000000" w:themeColor="text1"/>
                <w:sz w:val="21"/>
                <w:szCs w:val="21"/>
              </w:rPr>
            </w:pPr>
          </w:p>
        </w:tc>
      </w:tr>
    </w:tbl>
    <w:p w:rsidR="4C5B719C" w:rsidP="4C5B719C" w:rsidRDefault="4C5B719C" w14:paraId="0CACF793" w14:textId="530B44A5">
      <w:pPr>
        <w:rPr>
          <w:rFonts w:cs="Arial"/>
        </w:rPr>
      </w:pPr>
    </w:p>
    <w:p w:rsidR="6D4DF830" w:rsidP="4C5B719C" w:rsidRDefault="6D4DF830" w14:paraId="5002240E" w14:textId="225F0F6D">
      <w:pPr>
        <w:spacing w:before="160" w:after="100"/>
        <w:rPr>
          <w:rFonts w:eastAsia="Arial" w:cs="Arial"/>
          <w:color w:val="000000" w:themeColor="text1"/>
          <w:szCs w:val="20"/>
        </w:rPr>
      </w:pPr>
      <w:r w:rsidRPr="4C5B719C">
        <w:rPr>
          <w:rFonts w:eastAsia="Arial" w:cs="Arial"/>
          <w:b/>
          <w:bCs/>
          <w:color w:val="000000" w:themeColor="text1"/>
          <w:szCs w:val="20"/>
        </w:rPr>
        <w:t>Commerciële eisen</w:t>
      </w:r>
    </w:p>
    <w:tbl>
      <w:tblPr>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992"/>
        <w:gridCol w:w="7216"/>
        <w:gridCol w:w="848"/>
      </w:tblGrid>
      <w:tr w:rsidR="4C5B719C" w:rsidTr="4C5B719C" w14:paraId="4F993154" w14:textId="77777777">
        <w:trPr>
          <w:trHeight w:val="300"/>
        </w:trPr>
        <w:tc>
          <w:tcPr>
            <w:tcW w:w="69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1D3D419D" w14:textId="4DD17BE9">
            <w:pPr>
              <w:rPr>
                <w:rFonts w:eastAsia="Arial" w:cs="Arial"/>
                <w:szCs w:val="20"/>
              </w:rPr>
            </w:pPr>
            <w:r w:rsidRPr="4C5B719C">
              <w:rPr>
                <w:rFonts w:eastAsia="Arial" w:cs="Arial"/>
                <w:b/>
                <w:bCs/>
                <w:szCs w:val="20"/>
              </w:rPr>
              <w:t>Nummer</w:t>
            </w:r>
          </w:p>
        </w:tc>
        <w:tc>
          <w:tcPr>
            <w:tcW w:w="8025"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611CA39E" w14:textId="29648AAF">
            <w:pPr>
              <w:rPr>
                <w:rFonts w:eastAsia="Arial" w:cs="Arial"/>
                <w:szCs w:val="20"/>
              </w:rPr>
            </w:pPr>
            <w:r w:rsidRPr="4C5B719C">
              <w:rPr>
                <w:rFonts w:eastAsia="Arial" w:cs="Arial"/>
                <w:b/>
                <w:bCs/>
                <w:szCs w:val="20"/>
              </w:rPr>
              <w:t>Eis</w:t>
            </w:r>
          </w:p>
        </w:tc>
        <w:tc>
          <w:tcPr>
            <w:tcW w:w="90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079469E5" w14:textId="28F2EAC0">
            <w:pPr>
              <w:rPr>
                <w:rFonts w:eastAsia="Arial" w:cs="Arial"/>
                <w:szCs w:val="20"/>
              </w:rPr>
            </w:pPr>
            <w:r w:rsidRPr="4C5B719C">
              <w:rPr>
                <w:rFonts w:eastAsia="Arial" w:cs="Arial"/>
                <w:b/>
                <w:bCs/>
                <w:szCs w:val="20"/>
              </w:rPr>
              <w:t>Ja / Nee</w:t>
            </w:r>
          </w:p>
        </w:tc>
      </w:tr>
      <w:tr w:rsidR="4C5B719C" w:rsidTr="4C5B719C" w14:paraId="769E44C7"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8538D51" w14:textId="591CE133">
            <w:pPr>
              <w:rPr>
                <w:rFonts w:eastAsia="Arial" w:cs="Arial"/>
                <w:szCs w:val="20"/>
              </w:rPr>
            </w:pPr>
            <w:r w:rsidRPr="4C5B719C">
              <w:rPr>
                <w:rFonts w:eastAsia="Arial" w:cs="Arial"/>
                <w:szCs w:val="20"/>
              </w:rPr>
              <w:t>ce-1</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C4C741B" w14:textId="1785A445">
            <w:pPr>
              <w:rPr>
                <w:rFonts w:eastAsia="Arial" w:cs="Arial"/>
                <w:szCs w:val="20"/>
              </w:rPr>
            </w:pPr>
            <w:r w:rsidRPr="4C5B719C">
              <w:rPr>
                <w:rFonts w:eastAsia="Arial" w:cs="Arial"/>
                <w:szCs w:val="20"/>
              </w:rPr>
              <w:t>De Inschrijving is een "best-bid", dat wil zeggen een eerste en enige Inschrijving; er wordt niet nader onderhandeld over tarieven of andere zaken in de Inschrijving.</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A2AC469" w14:textId="2EAA17E4">
            <w:pPr>
              <w:rPr>
                <w:rFonts w:ascii="Calibri" w:hAnsi="Calibri" w:eastAsia="Calibri" w:cs="Calibri"/>
                <w:sz w:val="21"/>
                <w:szCs w:val="21"/>
              </w:rPr>
            </w:pPr>
          </w:p>
        </w:tc>
      </w:tr>
      <w:tr w:rsidR="4C5B719C" w:rsidTr="4C5B719C" w14:paraId="5CED43F0"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37E3216" w14:textId="08F5BEBB">
            <w:pPr>
              <w:rPr>
                <w:rFonts w:eastAsia="Arial" w:cs="Arial"/>
                <w:szCs w:val="20"/>
              </w:rPr>
            </w:pPr>
            <w:r w:rsidRPr="4C5B719C">
              <w:rPr>
                <w:rFonts w:eastAsia="Arial" w:cs="Arial"/>
                <w:szCs w:val="20"/>
              </w:rPr>
              <w:t>ce-2</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22D500B" w14:textId="4F776ACA">
            <w:pPr>
              <w:rPr>
                <w:rFonts w:eastAsia="Arial" w:cs="Arial"/>
                <w:szCs w:val="20"/>
              </w:rPr>
            </w:pPr>
            <w:r w:rsidRPr="4C5B719C">
              <w:rPr>
                <w:rFonts w:eastAsia="Arial" w:cs="Arial"/>
                <w:szCs w:val="20"/>
              </w:rPr>
              <w:t>De door de Inschrijvers geoffreerde premies zijn vaste premies gebaseerd op inwoneraantal. Binnen de termijn van 2 jaar vindt er geen jaarlijkse vaststelling per 1 augustus van het dan geldende inwoneraantal plaats. Er vindt geen verrekening van premie achteraf plaats.</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275AFFA" w14:textId="1C74D3FE">
            <w:pPr>
              <w:rPr>
                <w:rFonts w:ascii="Calibri" w:hAnsi="Calibri" w:eastAsia="Calibri" w:cs="Calibri"/>
                <w:sz w:val="21"/>
                <w:szCs w:val="21"/>
              </w:rPr>
            </w:pPr>
          </w:p>
        </w:tc>
      </w:tr>
      <w:tr w:rsidR="4C5B719C" w:rsidTr="4C5B719C" w14:paraId="4A9084AC"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60E3B1C" w14:textId="346B78DD">
            <w:pPr>
              <w:rPr>
                <w:rFonts w:eastAsia="Arial" w:cs="Arial"/>
                <w:szCs w:val="20"/>
              </w:rPr>
            </w:pPr>
            <w:r w:rsidRPr="4C5B719C">
              <w:rPr>
                <w:rFonts w:eastAsia="Arial" w:cs="Arial"/>
                <w:szCs w:val="20"/>
              </w:rPr>
              <w:t>ce-3</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BB7A108" w14:textId="6A9BE71A">
            <w:pPr>
              <w:rPr>
                <w:rFonts w:eastAsia="Arial" w:cs="Arial"/>
                <w:szCs w:val="20"/>
              </w:rPr>
            </w:pPr>
            <w:r w:rsidRPr="4C5B719C">
              <w:rPr>
                <w:rFonts w:eastAsia="Arial" w:cs="Arial"/>
                <w:szCs w:val="20"/>
              </w:rPr>
              <w:t>De te sluiten overeenkomst/polis wordt afgesloten voor een premievaste en in die zin onopzegbare periode van twee jaar. Er geldt maximaal 1 optiejaar. De inwerkingtreding van de polis is voorzien met ingang van 1 januari 2024 om 00.00 uur tot en met 31 december 2025 24.00 uur met een optie tot stilzwijgende verlenging van 1 jaar. Voor opdrachtgever geldt een opzegtermijn van twee maanden voor afloop van de contracttermijn. Voor opdrachtnemer geldt een opzegtermijn van zes maanden voor afloop van de contracttermijn, dit in verband met de te volgen aanbestedingsprocedure.</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1730371" w14:textId="59F5D781">
            <w:pPr>
              <w:rPr>
                <w:rFonts w:ascii="Calibri" w:hAnsi="Calibri" w:eastAsia="Calibri" w:cs="Calibri"/>
                <w:sz w:val="21"/>
                <w:szCs w:val="21"/>
              </w:rPr>
            </w:pPr>
          </w:p>
        </w:tc>
      </w:tr>
      <w:tr w:rsidR="4C5B719C" w:rsidTr="4C5B719C" w14:paraId="05998FD4"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6955C4C" w14:textId="37E8182D">
            <w:pPr>
              <w:rPr>
                <w:rFonts w:eastAsia="Arial" w:cs="Arial"/>
                <w:szCs w:val="20"/>
              </w:rPr>
            </w:pPr>
            <w:r w:rsidRPr="4C5B719C">
              <w:rPr>
                <w:rFonts w:eastAsia="Arial" w:cs="Arial"/>
                <w:szCs w:val="20"/>
              </w:rPr>
              <w:t>ce-4</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656D6F6" w14:textId="4E8489F9">
            <w:pPr>
              <w:rPr>
                <w:rFonts w:eastAsia="Arial" w:cs="Arial"/>
                <w:szCs w:val="20"/>
              </w:rPr>
            </w:pPr>
            <w:r w:rsidRPr="4C5B719C">
              <w:rPr>
                <w:rFonts w:eastAsia="Arial" w:cs="Arial"/>
                <w:szCs w:val="20"/>
              </w:rPr>
              <w:t>Inschrijver kan de premie en/of voorwaarden voor verzekeringen van dezelfde soort en bloc dan wel groepsgewijs wijzigen. Inschrijver maakt 3 maanden voor de gewenste ingangsdatum het voornemen van een en bloc wijziging kenbaar aan verzekeringsnemers. Verzekeringnemers zullen binnen twee maanden ofwel schriftelijk aangeven akkoord te gaan met de wijziging, ofwel mededelen op te zeggen met ingang van de dag waarop de wijziging ingaat van de verzekering waarop de te wijzigen premies en/of voorwaarden van toepassing zijn.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3CCD32D" w14:textId="32CDB8EE">
            <w:pPr>
              <w:rPr>
                <w:rFonts w:ascii="Calibri" w:hAnsi="Calibri" w:eastAsia="Calibri" w:cs="Calibri"/>
                <w:sz w:val="21"/>
                <w:szCs w:val="21"/>
              </w:rPr>
            </w:pPr>
          </w:p>
        </w:tc>
      </w:tr>
      <w:tr w:rsidR="4C5B719C" w:rsidTr="4C5B719C" w14:paraId="75DBA3AC"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4033A57" w14:textId="4EF9BFFF">
            <w:pPr>
              <w:rPr>
                <w:rFonts w:eastAsia="Arial" w:cs="Arial"/>
                <w:szCs w:val="20"/>
              </w:rPr>
            </w:pPr>
            <w:r w:rsidRPr="4C5B719C">
              <w:rPr>
                <w:rFonts w:eastAsia="Arial" w:cs="Arial"/>
                <w:szCs w:val="20"/>
              </w:rPr>
              <w:t>ce-5</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42FF585" w14:textId="41BC257F">
            <w:pPr>
              <w:rPr>
                <w:rFonts w:eastAsia="Arial" w:cs="Arial"/>
                <w:szCs w:val="20"/>
              </w:rPr>
            </w:pPr>
            <w:r w:rsidRPr="4C5B719C">
              <w:rPr>
                <w:rFonts w:eastAsia="Arial" w:cs="Arial"/>
                <w:szCs w:val="20"/>
              </w:rPr>
              <w:t>Limieten: Limiet zaak- en personenschade: € 5.000.000,00 per aanspraak en maximaal € 10.000.000,00 per verzekeringsjaar. Limiet vermogensschade: € 5.000.000,00 per aanspraak en maximaal € 10.000.000,00 per verzekeringsjaar.</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0416EFB" w14:textId="34271D6C">
            <w:pPr>
              <w:rPr>
                <w:rFonts w:ascii="Calibri" w:hAnsi="Calibri" w:eastAsia="Calibri" w:cs="Calibri"/>
                <w:sz w:val="21"/>
                <w:szCs w:val="21"/>
              </w:rPr>
            </w:pPr>
          </w:p>
        </w:tc>
      </w:tr>
      <w:tr w:rsidR="4C5B719C" w:rsidTr="4C5B719C" w14:paraId="1E481150"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D62D5BC" w14:textId="57B97DBD">
            <w:pPr>
              <w:rPr>
                <w:rFonts w:eastAsia="Arial" w:cs="Arial"/>
                <w:szCs w:val="20"/>
              </w:rPr>
            </w:pPr>
            <w:r w:rsidRPr="4C5B719C">
              <w:rPr>
                <w:rFonts w:eastAsia="Arial" w:cs="Arial"/>
                <w:szCs w:val="20"/>
              </w:rPr>
              <w:t>ce-6</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25B0B1B" w14:textId="0C03EA95">
            <w:pPr>
              <w:rPr>
                <w:rFonts w:eastAsia="Arial" w:cs="Arial"/>
                <w:szCs w:val="20"/>
              </w:rPr>
            </w:pPr>
            <w:r w:rsidRPr="4C5B719C">
              <w:rPr>
                <w:rFonts w:eastAsia="Arial" w:cs="Arial"/>
                <w:szCs w:val="20"/>
              </w:rPr>
              <w:t>Eigen risico EUR 2.500,- per aanspraak voor zaak/letsel; EUR 10.000,- voor vermogensschade.</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AF47510" w14:textId="4A34781B">
            <w:pPr>
              <w:rPr>
                <w:rFonts w:ascii="Calibri" w:hAnsi="Calibri" w:eastAsia="Calibri" w:cs="Calibri"/>
                <w:sz w:val="21"/>
                <w:szCs w:val="21"/>
              </w:rPr>
            </w:pPr>
          </w:p>
        </w:tc>
      </w:tr>
      <w:tr w:rsidR="4C5B719C" w:rsidTr="4C5B719C" w14:paraId="0E95A207"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EAD8A9C" w14:textId="58304379">
            <w:pPr>
              <w:rPr>
                <w:rFonts w:eastAsia="Arial" w:cs="Arial"/>
                <w:szCs w:val="20"/>
              </w:rPr>
            </w:pPr>
            <w:r w:rsidRPr="4C5B719C">
              <w:rPr>
                <w:rFonts w:eastAsia="Arial" w:cs="Arial"/>
                <w:szCs w:val="20"/>
              </w:rPr>
              <w:t>ce-7</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4F78F8B" w14:textId="6EC70AE2">
            <w:pPr>
              <w:rPr>
                <w:rFonts w:eastAsia="Arial" w:cs="Arial"/>
                <w:szCs w:val="20"/>
              </w:rPr>
            </w:pPr>
            <w:r w:rsidRPr="4C5B719C">
              <w:rPr>
                <w:rFonts w:eastAsia="Arial" w:cs="Arial"/>
                <w:szCs w:val="20"/>
              </w:rPr>
              <w:t>Inschrijver gaat akkoord met een betalingstermijn van 30 dagen na ontvangst van een geldige/juiste factuur die voldoet aan eis ce-9.</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EAFC187" w14:textId="7461162F">
            <w:pPr>
              <w:rPr>
                <w:rFonts w:ascii="Calibri" w:hAnsi="Calibri" w:eastAsia="Calibri" w:cs="Calibri"/>
                <w:sz w:val="21"/>
                <w:szCs w:val="21"/>
              </w:rPr>
            </w:pPr>
          </w:p>
        </w:tc>
      </w:tr>
      <w:tr w:rsidR="4C5B719C" w:rsidTr="4C5B719C" w14:paraId="284EE74B"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C28D619" w14:textId="5447BF7C">
            <w:pPr>
              <w:rPr>
                <w:rFonts w:eastAsia="Arial" w:cs="Arial"/>
                <w:szCs w:val="20"/>
              </w:rPr>
            </w:pPr>
            <w:r w:rsidRPr="4C5B719C">
              <w:rPr>
                <w:rFonts w:eastAsia="Arial" w:cs="Arial"/>
                <w:szCs w:val="20"/>
              </w:rPr>
              <w:t>ce-8</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2523DC7" w14:textId="13E75BAF">
            <w:pPr>
              <w:rPr>
                <w:rFonts w:eastAsia="Arial" w:cs="Arial"/>
                <w:szCs w:val="20"/>
              </w:rPr>
            </w:pPr>
            <w:r w:rsidRPr="4C5B719C">
              <w:rPr>
                <w:rFonts w:eastAsia="Arial" w:cs="Arial"/>
                <w:szCs w:val="20"/>
              </w:rPr>
              <w:t xml:space="preserve">Inschrijver factureert slechts één maal per jaar door digitaal een factuur in PDF- of UBL formaat te mailen aan: </w:t>
            </w:r>
            <w:hyperlink r:id="rId11">
              <w:r w:rsidRPr="4C5B719C">
                <w:rPr>
                  <w:rStyle w:val="Hyperlink"/>
                  <w:rFonts w:eastAsia="Arial" w:cs="Arial"/>
                  <w:szCs w:val="20"/>
                </w:rPr>
                <w:t>facturen@Zuidplas.nl</w:t>
              </w:r>
            </w:hyperlink>
            <w:r w:rsidRPr="4C5B719C">
              <w:rPr>
                <w:rFonts w:eastAsia="Arial" w:cs="Arial"/>
                <w:szCs w:val="20"/>
              </w:rPr>
              <w: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7755D2D" w14:textId="28E7FA92">
            <w:pPr>
              <w:rPr>
                <w:rFonts w:ascii="Calibri" w:hAnsi="Calibri" w:eastAsia="Calibri" w:cs="Calibri"/>
                <w:sz w:val="21"/>
                <w:szCs w:val="21"/>
              </w:rPr>
            </w:pPr>
          </w:p>
        </w:tc>
      </w:tr>
      <w:tr w:rsidR="4C5B719C" w:rsidTr="4C5B719C" w14:paraId="3DD118A8"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3EE060D" w14:textId="274B70CD">
            <w:pPr>
              <w:rPr>
                <w:rFonts w:eastAsia="Arial" w:cs="Arial"/>
                <w:szCs w:val="20"/>
              </w:rPr>
            </w:pPr>
            <w:r w:rsidRPr="4C5B719C">
              <w:rPr>
                <w:rFonts w:eastAsia="Arial" w:cs="Arial"/>
                <w:szCs w:val="20"/>
              </w:rPr>
              <w:t>ce-9</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DE55C63" w14:textId="7B786C6B">
            <w:pPr>
              <w:spacing w:after="120"/>
              <w:rPr>
                <w:rFonts w:eastAsia="Arial" w:cs="Arial"/>
                <w:szCs w:val="20"/>
              </w:rPr>
            </w:pPr>
            <w:r w:rsidRPr="4C5B719C">
              <w:rPr>
                <w:rFonts w:eastAsia="Arial" w:cs="Arial"/>
                <w:szCs w:val="20"/>
              </w:rPr>
              <w:t>Inschrijver vermeldt op de factuur minimaal:</w:t>
            </w:r>
          </w:p>
          <w:p w:rsidR="4C5B719C" w:rsidP="4C5B719C" w:rsidRDefault="4C5B719C" w14:paraId="46114D88" w14:textId="75D668FF">
            <w:pPr>
              <w:pStyle w:val="Lijstalinea"/>
              <w:numPr>
                <w:ilvl w:val="0"/>
                <w:numId w:val="4"/>
              </w:numPr>
              <w:spacing w:after="60"/>
              <w:rPr>
                <w:rFonts w:eastAsia="Arial" w:cs="Arial"/>
                <w:szCs w:val="20"/>
              </w:rPr>
            </w:pPr>
            <w:r w:rsidRPr="4C5B719C">
              <w:rPr>
                <w:rFonts w:eastAsia="Arial" w:cs="Arial"/>
                <w:szCs w:val="20"/>
              </w:rPr>
              <w:t>een door de Gemeente aan te geven projectnummer en Projectomschrijving</w:t>
            </w:r>
          </w:p>
          <w:p w:rsidR="4C5B719C" w:rsidP="4C5B719C" w:rsidRDefault="4C5B719C" w14:paraId="3C160F6A" w14:textId="318D028C">
            <w:pPr>
              <w:pStyle w:val="Lijstalinea"/>
              <w:numPr>
                <w:ilvl w:val="0"/>
                <w:numId w:val="4"/>
              </w:numPr>
              <w:spacing w:after="60"/>
              <w:rPr>
                <w:rFonts w:eastAsia="Arial" w:cs="Arial"/>
                <w:szCs w:val="20"/>
              </w:rPr>
            </w:pPr>
            <w:r w:rsidRPr="4C5B719C">
              <w:rPr>
                <w:rFonts w:eastAsia="Arial" w:cs="Arial"/>
                <w:szCs w:val="20"/>
              </w:rPr>
              <w:t>de daadwerkelijk geleverde aantallen en soorten producten of diensten</w:t>
            </w:r>
          </w:p>
          <w:p w:rsidR="4C5B719C" w:rsidP="4C5B719C" w:rsidRDefault="4C5B719C" w14:paraId="1CEDA1CF" w14:textId="3B576EBD">
            <w:pPr>
              <w:pStyle w:val="Lijstalinea"/>
              <w:numPr>
                <w:ilvl w:val="0"/>
                <w:numId w:val="4"/>
              </w:numPr>
              <w:spacing w:after="60"/>
              <w:rPr>
                <w:rFonts w:eastAsia="Arial" w:cs="Arial"/>
                <w:szCs w:val="20"/>
              </w:rPr>
            </w:pPr>
            <w:r w:rsidRPr="4C5B719C">
              <w:rPr>
                <w:rFonts w:eastAsia="Arial" w:cs="Arial"/>
                <w:szCs w:val="20"/>
              </w:rPr>
              <w:t>order- of referentienummer</w:t>
            </w:r>
          </w:p>
          <w:p w:rsidR="4C5B719C" w:rsidP="4C5B719C" w:rsidRDefault="4C5B719C" w14:paraId="0F5569E5" w14:textId="2FE0382A">
            <w:pPr>
              <w:pStyle w:val="Lijstalinea"/>
              <w:numPr>
                <w:ilvl w:val="0"/>
                <w:numId w:val="4"/>
              </w:numPr>
              <w:spacing w:after="60"/>
              <w:rPr>
                <w:rFonts w:eastAsia="Arial" w:cs="Arial"/>
                <w:szCs w:val="20"/>
              </w:rPr>
            </w:pPr>
            <w:r w:rsidRPr="4C5B719C">
              <w:rPr>
                <w:rFonts w:eastAsia="Arial" w:cs="Arial"/>
                <w:szCs w:val="20"/>
              </w:rPr>
              <w:t>afzonderlijke bedragen, alsmede het totaalbedrag</w:t>
            </w:r>
          </w:p>
          <w:p w:rsidR="4C5B719C" w:rsidP="4C5B719C" w:rsidRDefault="4C5B719C" w14:paraId="3E3989F4" w14:textId="435EAD82">
            <w:pPr>
              <w:pStyle w:val="Lijstalinea"/>
              <w:numPr>
                <w:ilvl w:val="0"/>
                <w:numId w:val="4"/>
              </w:numPr>
              <w:spacing w:after="60"/>
              <w:rPr>
                <w:rFonts w:eastAsia="Arial" w:cs="Arial"/>
                <w:szCs w:val="20"/>
              </w:rPr>
            </w:pPr>
            <w:r w:rsidRPr="4C5B719C">
              <w:rPr>
                <w:rFonts w:eastAsia="Arial" w:cs="Arial"/>
                <w:szCs w:val="20"/>
              </w:rPr>
              <w:t>de datum van levering</w:t>
            </w:r>
          </w:p>
          <w:p w:rsidR="4C5B719C" w:rsidP="4C5B719C" w:rsidRDefault="4C5B719C" w14:paraId="006D6F0C" w14:textId="59CD0CD2">
            <w:pPr>
              <w:pStyle w:val="Lijstalinea"/>
              <w:numPr>
                <w:ilvl w:val="0"/>
                <w:numId w:val="4"/>
              </w:numPr>
              <w:spacing w:after="60"/>
              <w:rPr>
                <w:rFonts w:eastAsia="Arial" w:cs="Arial"/>
                <w:szCs w:val="20"/>
              </w:rPr>
            </w:pPr>
            <w:r w:rsidRPr="4C5B719C">
              <w:rPr>
                <w:rFonts w:eastAsia="Arial" w:cs="Arial"/>
                <w:szCs w:val="20"/>
              </w:rPr>
              <w:t>het assurantiebelasting e/o BTW bedrag</w:t>
            </w:r>
          </w:p>
          <w:p w:rsidR="4C5B719C" w:rsidP="4C5B719C" w:rsidRDefault="4C5B719C" w14:paraId="65A12B17" w14:textId="2E8C4B1A">
            <w:pPr>
              <w:pStyle w:val="Lijstalinea"/>
              <w:numPr>
                <w:ilvl w:val="0"/>
                <w:numId w:val="4"/>
              </w:numPr>
              <w:spacing w:after="60"/>
              <w:rPr>
                <w:rFonts w:eastAsia="Arial" w:cs="Arial"/>
                <w:szCs w:val="20"/>
              </w:rPr>
            </w:pPr>
            <w:r w:rsidRPr="4C5B719C">
              <w:rPr>
                <w:rFonts w:eastAsia="Arial" w:cs="Arial"/>
                <w:szCs w:val="20"/>
              </w:rPr>
              <w:t>BTW-nummer</w:t>
            </w:r>
          </w:p>
          <w:p w:rsidR="4C5B719C" w:rsidP="4C5B719C" w:rsidRDefault="4C5B719C" w14:paraId="1A86ED81" w14:textId="3BA6E1E7">
            <w:pPr>
              <w:pStyle w:val="Lijstalinea"/>
              <w:numPr>
                <w:ilvl w:val="0"/>
                <w:numId w:val="4"/>
              </w:numPr>
              <w:spacing w:after="60"/>
              <w:rPr>
                <w:rFonts w:eastAsia="Arial" w:cs="Arial"/>
                <w:szCs w:val="20"/>
              </w:rPr>
            </w:pPr>
            <w:r w:rsidRPr="4C5B719C">
              <w:rPr>
                <w:rFonts w:eastAsia="Arial" w:cs="Arial"/>
                <w:szCs w:val="20"/>
              </w:rPr>
              <w:t>KvK-nummer (indien van toepassing)</w:t>
            </w:r>
          </w:p>
          <w:p w:rsidR="4C5B719C" w:rsidP="4C5B719C" w:rsidRDefault="4C5B719C" w14:paraId="1B9FAD8E" w14:textId="4EB53789">
            <w:pPr>
              <w:pStyle w:val="Lijstalinea"/>
              <w:numPr>
                <w:ilvl w:val="0"/>
                <w:numId w:val="4"/>
              </w:numPr>
              <w:spacing w:after="60"/>
              <w:rPr>
                <w:rFonts w:eastAsia="Arial" w:cs="Arial"/>
                <w:szCs w:val="20"/>
              </w:rPr>
            </w:pPr>
            <w:r w:rsidRPr="4C5B719C">
              <w:rPr>
                <w:rFonts w:eastAsia="Arial" w:cs="Arial"/>
                <w:szCs w:val="20"/>
              </w:rPr>
              <w:t>Bankrekeningnummer</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5790FAA" w14:textId="429288C8">
            <w:pPr>
              <w:rPr>
                <w:rFonts w:ascii="Calibri" w:hAnsi="Calibri" w:eastAsia="Calibri" w:cs="Calibri"/>
                <w:sz w:val="21"/>
                <w:szCs w:val="21"/>
              </w:rPr>
            </w:pPr>
          </w:p>
        </w:tc>
      </w:tr>
    </w:tbl>
    <w:p w:rsidR="6D4DF830" w:rsidP="4C5B719C" w:rsidRDefault="6D4DF830" w14:paraId="321B5EF1" w14:textId="34310682">
      <w:pPr>
        <w:spacing w:before="160" w:after="100"/>
        <w:rPr>
          <w:rFonts w:eastAsia="Arial" w:cs="Arial"/>
          <w:color w:val="000000" w:themeColor="text1"/>
          <w:szCs w:val="20"/>
        </w:rPr>
      </w:pPr>
      <w:r w:rsidRPr="4C5B719C">
        <w:rPr>
          <w:rFonts w:eastAsia="Arial" w:cs="Arial"/>
          <w:b/>
          <w:bCs/>
          <w:color w:val="000000" w:themeColor="text1"/>
          <w:szCs w:val="20"/>
        </w:rPr>
        <w:t>Juridische eisen</w:t>
      </w:r>
    </w:p>
    <w:tbl>
      <w:tblPr>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992"/>
        <w:gridCol w:w="7217"/>
        <w:gridCol w:w="847"/>
      </w:tblGrid>
      <w:tr w:rsidR="4C5B719C" w:rsidTr="4C5B719C" w14:paraId="5B9D0644" w14:textId="77777777">
        <w:trPr>
          <w:trHeight w:val="300"/>
        </w:trPr>
        <w:tc>
          <w:tcPr>
            <w:tcW w:w="69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3B7EC74C" w14:textId="0C47AABC">
            <w:pPr>
              <w:rPr>
                <w:rFonts w:eastAsia="Arial" w:cs="Arial"/>
                <w:szCs w:val="20"/>
              </w:rPr>
            </w:pPr>
            <w:r w:rsidRPr="4C5B719C">
              <w:rPr>
                <w:rFonts w:eastAsia="Arial" w:cs="Arial"/>
                <w:b/>
                <w:bCs/>
                <w:szCs w:val="20"/>
              </w:rPr>
              <w:t>Nummer</w:t>
            </w:r>
          </w:p>
        </w:tc>
        <w:tc>
          <w:tcPr>
            <w:tcW w:w="8025"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43EAB550" w14:textId="45F44B78">
            <w:pPr>
              <w:rPr>
                <w:rFonts w:eastAsia="Arial" w:cs="Arial"/>
                <w:szCs w:val="20"/>
              </w:rPr>
            </w:pPr>
            <w:r w:rsidRPr="4C5B719C">
              <w:rPr>
                <w:rFonts w:eastAsia="Arial" w:cs="Arial"/>
                <w:b/>
                <w:bCs/>
                <w:szCs w:val="20"/>
              </w:rPr>
              <w:t>Eis</w:t>
            </w:r>
          </w:p>
        </w:tc>
        <w:tc>
          <w:tcPr>
            <w:tcW w:w="90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563B65F7" w14:textId="5DBAFBF4">
            <w:pPr>
              <w:rPr>
                <w:rFonts w:eastAsia="Arial" w:cs="Arial"/>
                <w:szCs w:val="20"/>
              </w:rPr>
            </w:pPr>
            <w:r w:rsidRPr="4C5B719C">
              <w:rPr>
                <w:rFonts w:eastAsia="Arial" w:cs="Arial"/>
                <w:b/>
                <w:bCs/>
                <w:szCs w:val="20"/>
              </w:rPr>
              <w:t>Ja / Nee</w:t>
            </w:r>
          </w:p>
        </w:tc>
      </w:tr>
      <w:tr w:rsidR="4C5B719C" w:rsidTr="4C5B719C" w14:paraId="7063615E"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A7853E4" w14:textId="2F78FFBE">
            <w:pPr>
              <w:rPr>
                <w:rFonts w:eastAsia="Arial" w:cs="Arial"/>
                <w:szCs w:val="20"/>
              </w:rPr>
            </w:pPr>
            <w:r w:rsidRPr="4C5B719C">
              <w:rPr>
                <w:rFonts w:eastAsia="Arial" w:cs="Arial"/>
                <w:szCs w:val="20"/>
              </w:rPr>
              <w:t>je-1</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0D3266E" w14:textId="6EF9988C">
            <w:pPr>
              <w:rPr>
                <w:rFonts w:eastAsia="Arial" w:cs="Arial"/>
                <w:szCs w:val="20"/>
              </w:rPr>
            </w:pPr>
            <w:r w:rsidRPr="4C5B719C">
              <w:rPr>
                <w:rFonts w:eastAsia="Arial" w:cs="Arial"/>
                <w:szCs w:val="20"/>
              </w:rPr>
              <w:t>Op deze aanbesteding is het Nederlands recht van toepassing. Alle geschillen die met betrekking tot de Aanbestedingsprocedure mochten ontstaan, zullen door de bevoegde rechter van de rechtbank Den Haag, locatie Den Haag, worden beslecht. Deze Aanbestedingsdocumenten kunnen niet worden gezien als een aanbod in de zin van art. 6:217 BW.</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86E5043" w14:textId="1251CB36">
            <w:pPr>
              <w:rPr>
                <w:rFonts w:ascii="Calibri" w:hAnsi="Calibri" w:eastAsia="Calibri" w:cs="Calibri"/>
                <w:sz w:val="21"/>
                <w:szCs w:val="21"/>
              </w:rPr>
            </w:pPr>
          </w:p>
        </w:tc>
      </w:tr>
      <w:tr w:rsidR="4C5B719C" w:rsidTr="4C5B719C" w14:paraId="53673080"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1F6D4F2" w14:textId="48A087BD">
            <w:pPr>
              <w:rPr>
                <w:rFonts w:eastAsia="Arial" w:cs="Arial"/>
                <w:szCs w:val="20"/>
              </w:rPr>
            </w:pPr>
            <w:r w:rsidRPr="4C5B719C">
              <w:rPr>
                <w:rFonts w:eastAsia="Arial" w:cs="Arial"/>
                <w:szCs w:val="20"/>
              </w:rPr>
              <w:t>je-2</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841DACF" w14:textId="3F811729">
            <w:pPr>
              <w:spacing w:after="120"/>
              <w:rPr>
                <w:rFonts w:eastAsia="Arial" w:cs="Arial"/>
                <w:szCs w:val="20"/>
              </w:rPr>
            </w:pPr>
            <w:r w:rsidRPr="4C5B719C">
              <w:rPr>
                <w:rFonts w:eastAsia="Arial" w:cs="Arial"/>
                <w:szCs w:val="20"/>
              </w:rPr>
              <w:t>Op de verzekering zelf zijn de in de gemeentelijke verzekeringsmarkt gebruikelijk voorwaarden en rubrieken voor aansprakelijkheidsrisico's van toepassing, en de aanvullende polisvoorwaarden zoals benoemd in Bijlage 7, beter bekend onder AVG 035 alsmede de aanvullingen in clausules.</w:t>
            </w:r>
          </w:p>
          <w:p w:rsidR="4C5B719C" w:rsidP="4C5B719C" w:rsidRDefault="4C5B719C" w14:paraId="437F1C72" w14:textId="2960CBD2">
            <w:pPr>
              <w:spacing w:after="120"/>
              <w:rPr>
                <w:rFonts w:eastAsia="Arial" w:cs="Arial"/>
                <w:szCs w:val="20"/>
              </w:rPr>
            </w:pPr>
            <w:r w:rsidRPr="4C5B719C">
              <w:rPr>
                <w:rFonts w:eastAsia="Arial" w:cs="Arial"/>
                <w:szCs w:val="20"/>
              </w:rPr>
              <w:t>Het is toegestaan om in de nota van inlichtingen een voorstel te doen voor gebruik van minimaal gelijkwaardige voorwaarden.</w:t>
            </w:r>
          </w:p>
          <w:p w:rsidR="4C5B719C" w:rsidP="4C5B719C" w:rsidRDefault="4C5B719C" w14:paraId="465026E6" w14:textId="1E7BFC2A">
            <w:pPr>
              <w:rPr>
                <w:rFonts w:eastAsia="Arial" w:cs="Arial"/>
                <w:szCs w:val="20"/>
              </w:rPr>
            </w:pPr>
            <w:r w:rsidRPr="4C5B719C">
              <w:rPr>
                <w:rFonts w:eastAsia="Arial" w:cs="Arial"/>
                <w:szCs w:val="20"/>
              </w:rPr>
              <w:t>Anders geformuleerd: De dekking dient te zijn: minimaal gelijk aan de AVG 035 voorwaarden + de beschreven clausules. De in de markt gangbare polismantels zijn inhoudelijk niet hetzelfde als AVG035. Inschrijver dient wel aan het gevraagde dekkingsniveau te voldoen. Daarom stellen wij: Inschrijver dient in een bijlage per eis aan te geven waar in de tekst van zijn voorwaarden en aanvullende clausules, tegemoet wordt gekomen met de eis en waar de vindplaats is van deze dekking: exact artikel of clausule.</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CC1BAA3" w14:textId="72E2A71A">
            <w:pPr>
              <w:rPr>
                <w:rFonts w:ascii="Calibri" w:hAnsi="Calibri" w:eastAsia="Calibri" w:cs="Calibri"/>
                <w:sz w:val="21"/>
                <w:szCs w:val="21"/>
              </w:rPr>
            </w:pPr>
          </w:p>
        </w:tc>
      </w:tr>
    </w:tbl>
    <w:p w:rsidR="4C5B719C" w:rsidP="4C5B719C" w:rsidRDefault="4C5B719C" w14:paraId="19A0F03D" w14:textId="6A2FB692"/>
    <w:p w:rsidR="265EB7B1" w:rsidP="4C5B719C" w:rsidRDefault="265EB7B1" w14:paraId="1A304849" w14:textId="69D3FA78">
      <w:pPr>
        <w:spacing w:before="160" w:after="100"/>
        <w:rPr>
          <w:rFonts w:eastAsia="Arial" w:cs="Arial"/>
          <w:color w:val="000000" w:themeColor="text1"/>
          <w:szCs w:val="20"/>
        </w:rPr>
      </w:pPr>
      <w:r w:rsidRPr="4C5B719C">
        <w:rPr>
          <w:rFonts w:eastAsia="Arial" w:cs="Arial"/>
          <w:b/>
          <w:bCs/>
          <w:color w:val="000000" w:themeColor="text1"/>
          <w:szCs w:val="20"/>
        </w:rPr>
        <w:t>Functionele eisen</w:t>
      </w:r>
    </w:p>
    <w:p w:rsidR="4C5B719C" w:rsidP="4C5B719C" w:rsidRDefault="4C5B719C" w14:paraId="6A193676" w14:textId="1631C69D"/>
    <w:tbl>
      <w:tblPr>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954"/>
        <w:gridCol w:w="7260"/>
        <w:gridCol w:w="842"/>
      </w:tblGrid>
      <w:tr w:rsidR="4C5B719C" w:rsidTr="2CCF0F9E" w14:paraId="322E8CBB" w14:textId="77777777">
        <w:trPr>
          <w:trHeight w:val="300"/>
        </w:trPr>
        <w:tc>
          <w:tcPr>
            <w:tcW w:w="69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68838C04" w14:textId="31FA460A">
            <w:pPr>
              <w:rPr>
                <w:rFonts w:ascii="Calibri" w:hAnsi="Calibri" w:eastAsia="Calibri" w:cs="Calibri"/>
                <w:color w:val="000000" w:themeColor="text1"/>
                <w:sz w:val="21"/>
                <w:szCs w:val="21"/>
              </w:rPr>
            </w:pPr>
            <w:r w:rsidRPr="4C5B719C">
              <w:rPr>
                <w:rFonts w:ascii="Calibri" w:hAnsi="Calibri" w:eastAsia="Calibri" w:cs="Calibri"/>
                <w:b/>
                <w:bCs/>
                <w:color w:val="000000" w:themeColor="text1"/>
                <w:sz w:val="21"/>
                <w:szCs w:val="21"/>
              </w:rPr>
              <w:t>Nummer</w:t>
            </w:r>
          </w:p>
        </w:tc>
        <w:tc>
          <w:tcPr>
            <w:tcW w:w="8025"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1E70EEED" w14:textId="081F7320">
            <w:pPr>
              <w:rPr>
                <w:rFonts w:ascii="Calibri" w:hAnsi="Calibri" w:eastAsia="Calibri" w:cs="Calibri"/>
                <w:color w:val="000000" w:themeColor="text1"/>
                <w:sz w:val="21"/>
                <w:szCs w:val="21"/>
              </w:rPr>
            </w:pPr>
            <w:r w:rsidRPr="4C5B719C">
              <w:rPr>
                <w:rFonts w:ascii="Calibri" w:hAnsi="Calibri" w:eastAsia="Calibri" w:cs="Calibri"/>
                <w:b/>
                <w:bCs/>
                <w:color w:val="000000" w:themeColor="text1"/>
                <w:sz w:val="21"/>
                <w:szCs w:val="21"/>
              </w:rPr>
              <w:t>Eis</w:t>
            </w:r>
          </w:p>
        </w:tc>
        <w:tc>
          <w:tcPr>
            <w:tcW w:w="90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4EB1A8FE" w14:textId="118C5720">
            <w:pPr>
              <w:rPr>
                <w:rFonts w:ascii="Calibri" w:hAnsi="Calibri" w:eastAsia="Calibri" w:cs="Calibri"/>
                <w:color w:val="000000" w:themeColor="text1"/>
                <w:sz w:val="21"/>
                <w:szCs w:val="21"/>
              </w:rPr>
            </w:pPr>
            <w:r w:rsidRPr="4C5B719C">
              <w:rPr>
                <w:rFonts w:ascii="Calibri" w:hAnsi="Calibri" w:eastAsia="Calibri" w:cs="Calibri"/>
                <w:b/>
                <w:bCs/>
                <w:color w:val="000000" w:themeColor="text1"/>
                <w:sz w:val="21"/>
                <w:szCs w:val="21"/>
              </w:rPr>
              <w:t>Ja / Nee</w:t>
            </w:r>
          </w:p>
        </w:tc>
      </w:tr>
      <w:tr w:rsidR="4C5B719C" w:rsidTr="2CCF0F9E" w14:paraId="575D526C"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F65C0DA" w14:textId="3E8FB321">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0228082" w14:textId="154B17E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Ingangsdatum polis is 1-1-2024.</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DFD79FF" w14:textId="6450AE6A">
            <w:pPr>
              <w:rPr>
                <w:rFonts w:ascii="Calibri" w:hAnsi="Calibri" w:eastAsia="Calibri" w:cs="Calibri"/>
                <w:color w:val="000000" w:themeColor="text1"/>
                <w:sz w:val="21"/>
                <w:szCs w:val="21"/>
              </w:rPr>
            </w:pPr>
          </w:p>
        </w:tc>
      </w:tr>
      <w:tr w:rsidR="4C5B719C" w:rsidTr="2CCF0F9E" w14:paraId="09FDC9E5"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B24C35E" w14:textId="7F37D2EB">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3F389FA" w14:textId="4A157FE0">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Inloop:</w:t>
            </w:r>
          </w:p>
          <w:p w:rsidR="4C5B719C" w:rsidP="4C5B719C" w:rsidRDefault="4C5B719C" w14:paraId="344DE4F3" w14:textId="25E5D03C">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verzekering dient dekking te bieden voor het zogenaamde inlooprisico indien aansluitend met de huidige situatie is dat zelfs vanaf 31 december 2002. We eisen minimaal 9 jaar voor personen-, zaak- en vermogensschaden voorafgaande aan 1 januari 2024. Het gaat hierbij om aansprakelijkstellingen die op de ingangsdatum van deze aansprakelijkheidsverzekering nog niet bij de gemeente Zuidplas bekend zijn.</w:t>
            </w:r>
          </w:p>
          <w:p w:rsidR="4C5B719C" w:rsidP="4C5B719C" w:rsidRDefault="4C5B719C" w14:paraId="6D643C7E" w14:textId="76D537BC">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NB: Als wens is er een naadloze aansluiting vanaf 1-1-2024 gevraagd. De polis zal dan naadloos aansluiten op de voorgaande polis zodat er geen schadegevallen om die reden niet gedekt kunnen zijn.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0DFA313" w14:textId="77122436">
            <w:pPr>
              <w:rPr>
                <w:rFonts w:ascii="Calibri" w:hAnsi="Calibri" w:eastAsia="Calibri" w:cs="Calibri"/>
                <w:color w:val="000000" w:themeColor="text1"/>
                <w:sz w:val="21"/>
                <w:szCs w:val="21"/>
              </w:rPr>
            </w:pPr>
          </w:p>
        </w:tc>
      </w:tr>
      <w:tr w:rsidR="4C5B719C" w:rsidTr="2CCF0F9E" w14:paraId="68A32CB6"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9F6C217" w14:textId="52AF87AD">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fe-3</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88647E6" w14:textId="42C7342A">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Productaansprakelijkheid</w:t>
            </w:r>
          </w:p>
          <w:p w:rsidR="4C5B719C" w:rsidP="4C5B719C" w:rsidRDefault="4C5B719C" w14:paraId="5888293D" w14:textId="58DEB291">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Verzekerd is de aansprakelijkheid van de gemeente voor door haar geleverde producten (niet beperkt tot alleen consumpties).</w:t>
            </w:r>
          </w:p>
          <w:p w:rsidR="4C5B719C" w:rsidP="4C5B719C" w:rsidRDefault="4C5B719C" w14:paraId="08DAD005" w14:textId="362DE74E">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"producten" die geleverd worden passen bij de hoedanigheid van een gemeente.</w:t>
            </w:r>
          </w:p>
          <w:p w:rsidR="4C5B719C" w:rsidP="4C5B719C" w:rsidRDefault="4C5B719C" w14:paraId="3673C524" w14:textId="7C5BD79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Nadrukkelijk is verzekerd de aansprakelijkheid van de gemeente als eigenaar van zonnepanelen, ook als deze bij derden zijn aangebracht en onvoorzien schade aan eigendommen van derden veroorzaken, alsmede brand bij derden zouden veroorzaken.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EE93704" w14:textId="10DDAE0E">
            <w:pPr>
              <w:rPr>
                <w:rFonts w:ascii="Calibri" w:hAnsi="Calibri" w:eastAsia="Calibri" w:cs="Calibri"/>
                <w:color w:val="000000" w:themeColor="text1"/>
                <w:sz w:val="21"/>
                <w:szCs w:val="21"/>
              </w:rPr>
            </w:pPr>
          </w:p>
        </w:tc>
      </w:tr>
      <w:tr w:rsidR="4C5B719C" w:rsidTr="2CCF0F9E" w14:paraId="4D5283A1"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21A3FF5" w14:textId="243D8085">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fe-4</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4BE92D9" w14:textId="55AB2BFC">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Vuilcontainers:</w:t>
            </w:r>
          </w:p>
          <w:p w:rsidR="4C5B719C" w:rsidP="4C5B719C" w:rsidRDefault="4C5B719C" w14:paraId="165BEBDD" w14:textId="0138FB73">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Ten overvloede is verzekerd de aansprakelijkheid van verzekerde voor schade veroorzaakt met of door aan derden verhuurde of ter beschikking gestelde vuilcontainers.</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4823AE7" w14:textId="219533AE">
            <w:pPr>
              <w:rPr>
                <w:rFonts w:ascii="Calibri" w:hAnsi="Calibri" w:eastAsia="Calibri" w:cs="Calibri"/>
                <w:color w:val="000000" w:themeColor="text1"/>
                <w:sz w:val="21"/>
                <w:szCs w:val="21"/>
              </w:rPr>
            </w:pPr>
          </w:p>
        </w:tc>
      </w:tr>
      <w:tr w:rsidR="4C5B719C" w:rsidTr="2CCF0F9E" w14:paraId="2B9EF0AB"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3D48233" w14:textId="4291A7E4">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fe-5</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66A1BEE" w14:textId="0C0BE884">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Mediation: Kosten van mediation zijn meeverzekerd tot maximaal 2500,- per schadegeval. En gemaximeerd tot 3 zaken per jaar.</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E61CB8A" w14:textId="51C1BA95">
            <w:pPr>
              <w:rPr>
                <w:rFonts w:ascii="Calibri" w:hAnsi="Calibri" w:eastAsia="Calibri" w:cs="Calibri"/>
                <w:color w:val="000000" w:themeColor="text1"/>
                <w:sz w:val="21"/>
                <w:szCs w:val="21"/>
              </w:rPr>
            </w:pPr>
          </w:p>
        </w:tc>
      </w:tr>
      <w:tr w:rsidR="4C5B719C" w:rsidTr="2CCF0F9E" w14:paraId="2EFD958F"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F233FE8" w14:textId="2C0870B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fe-6</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EEE9659" w14:textId="56827664">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Gewekte verwachtingen/toezeggingen:</w:t>
            </w:r>
          </w:p>
          <w:p w:rsidR="4C5B719C" w:rsidP="4C5B719C" w:rsidRDefault="4C5B719C" w14:paraId="4624D39E" w14:textId="362568B6">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Toezeggingen: verzekerd is zaak- of vermogensschade als gevolg van het niet nakomen van toezeggingen gedaan door verzekerden en verzekerd is zaak- of vermogensschade als gevolg van door verzekerden gewekte verwachtingen. Voorwaarde is dat aannemelijk kan worden gemaakt dat de betrokken medewerker bij het doen van de toezegging of het wekken van de verwachting een wettelijke bepaling of voorschrift over het hoofd heeft gezien en bij nakoming van de toezegging het voorschrift of de wettelijke bepaling geschonden wordt. Deze aansprakelijkheid is verzekerd tot een maximum van €500.000,00 per aanspraak en per verzekeringsjaar, als onderdeel van het verzekerd bedrag voor vermogensschade.</w:t>
            </w:r>
          </w:p>
          <w:p w:rsidR="4C5B719C" w:rsidP="4C5B719C" w:rsidRDefault="4C5B719C" w14:paraId="1BBB36A8" w14:textId="590BFFAD">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Verzekeraar verleent geen dekking voor de aansprakelijkheid voor schade verband houdend met:</w:t>
            </w:r>
          </w:p>
          <w:p w:rsidR="4C5B719C" w:rsidP="4C5B719C" w:rsidRDefault="4C5B719C" w14:paraId="646261F2" w14:textId="3F824CDD">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Termijnoverschrijding</w:t>
            </w:r>
          </w:p>
          <w:p w:rsidR="4C5B719C" w:rsidP="4C5B719C" w:rsidRDefault="4C5B719C" w14:paraId="1584877E" w14:textId="6E20EA5C">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Gederfde winst</w:t>
            </w:r>
          </w:p>
          <w:p w:rsidR="4C5B719C" w:rsidP="4C5B719C" w:rsidRDefault="4C5B719C" w14:paraId="679E5346" w14:textId="382E1912">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Opnieuw verrichten van werkzaamheden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EA3856E" w14:textId="7F8CEAB0">
            <w:pPr>
              <w:rPr>
                <w:rFonts w:ascii="Calibri" w:hAnsi="Calibri" w:eastAsia="Calibri" w:cs="Calibri"/>
                <w:color w:val="000000" w:themeColor="text1"/>
                <w:sz w:val="21"/>
                <w:szCs w:val="21"/>
              </w:rPr>
            </w:pPr>
          </w:p>
        </w:tc>
      </w:tr>
      <w:tr w:rsidR="4C5B719C" w:rsidTr="2CCF0F9E" w14:paraId="6A042065"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30E163F" w14:textId="7BB04DC2">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fe-7</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1B93C2B" w14:textId="0AA22AE3">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Dekking voor het aansprakelijkheidsrisico van de gemeente, als Opdrachtgever of werkgever van personen die werkzaamheden uitvoeren voor de gemeente Zuidplas en in al zijn hoedanigheden.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73B2476" w14:textId="55DEF018">
            <w:pPr>
              <w:rPr>
                <w:rFonts w:ascii="Calibri" w:hAnsi="Calibri" w:eastAsia="Calibri" w:cs="Calibri"/>
                <w:color w:val="000000" w:themeColor="text1"/>
                <w:sz w:val="21"/>
                <w:szCs w:val="21"/>
              </w:rPr>
            </w:pPr>
          </w:p>
        </w:tc>
      </w:tr>
      <w:tr w:rsidR="4C5B719C" w:rsidTr="2CCF0F9E" w14:paraId="2363FC08"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8E308BE" w14:textId="1770540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fe-8</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DDDC309" w14:textId="0B5C8DAE">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Gedekt is termijnoverschrijding als gevolg van een fout. Zie ook fe-9.</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756F92A" w14:textId="1233280A">
            <w:pPr>
              <w:rPr>
                <w:rFonts w:ascii="Calibri" w:hAnsi="Calibri" w:eastAsia="Calibri" w:cs="Calibri"/>
                <w:color w:val="000000" w:themeColor="text1"/>
                <w:sz w:val="21"/>
                <w:szCs w:val="21"/>
              </w:rPr>
            </w:pPr>
          </w:p>
        </w:tc>
      </w:tr>
      <w:tr w:rsidR="4C5B719C" w:rsidTr="2CCF0F9E" w14:paraId="07E07D31"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F493304" w14:textId="4F6957BF">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fe-9</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2C8272B" w14:textId="54E76DE9">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verzekering volgt qua dekking de activiteiten die de gemeente vanuit de overheid krijgt opgelegd, zoals de WABO, de WMO en participatiewetgeving. Zie ook fe-8.</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AF1D6CA" w14:textId="48A917E3">
            <w:pPr>
              <w:rPr>
                <w:rFonts w:ascii="Calibri" w:hAnsi="Calibri" w:eastAsia="Calibri" w:cs="Calibri"/>
                <w:color w:val="000000" w:themeColor="text1"/>
                <w:sz w:val="21"/>
                <w:szCs w:val="21"/>
              </w:rPr>
            </w:pPr>
          </w:p>
        </w:tc>
      </w:tr>
      <w:tr w:rsidR="4C5B719C" w:rsidTr="2CCF0F9E" w14:paraId="70C2E289"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DB61F7C" w14:textId="4A8F54C0">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fe-10</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6392809" w14:textId="3A7C0898">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Insluiting asbest: Gedekt is de aansprakelijkheid voor door derden gelden zaak- en personenschade veroorzaakt door, voortgevloeid uit of verband houdend met een blootstelling aan, een toepassing, gebruik of verwerking of besmetting of door asbest of asbesthoudende materialen tot een maximum van € 155.000,- per aanspraak en per verzekeringsjaar mits de aansprakelijkstelling binnen de looptijd van deze verzekering bij de Gemeente Zuidplas is ingediend.</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D10D2FC" w14:textId="207B8FCF">
            <w:pPr>
              <w:rPr>
                <w:rFonts w:ascii="Calibri" w:hAnsi="Calibri" w:eastAsia="Calibri" w:cs="Calibri"/>
                <w:color w:val="000000" w:themeColor="text1"/>
                <w:sz w:val="21"/>
                <w:szCs w:val="21"/>
              </w:rPr>
            </w:pPr>
          </w:p>
        </w:tc>
      </w:tr>
      <w:tr w:rsidR="4C5B719C" w:rsidTr="2CCF0F9E" w14:paraId="710B71F3"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0DAF28C" w14:textId="1310E47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fe-11</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DA51A50" w14:textId="73E3A62F">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Proceskosten:</w:t>
            </w:r>
          </w:p>
          <w:p w:rsidR="4C5B719C" w:rsidP="4C5B719C" w:rsidRDefault="4C5B719C" w14:paraId="790EFBFA" w14:textId="750C86F0">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Verzekerd is de vergoeding van proceskosten waartoe verzekerde op grond van de artikelen 8.75 en 8.75a Algemene Wet Bestuursrecht is veroordeeld, indien een besluit in beroep wordt vernietigd dan wel indien een besluit, voordat daarover in beroep is beslist, wordt gewijzigd.</w:t>
            </w:r>
          </w:p>
          <w:p w:rsidR="4C5B719C" w:rsidP="4C5B719C" w:rsidRDefault="4C5B719C" w14:paraId="7F3EE2BB" w14:textId="4748F2F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Dekking voor proceskosten is conform artikel 20 AVG 035. Dit valt onder de rubriek vermogensschadedekking en betreft proceskosten die voortvloeien uit bestuursrechtelijke procedures ter zake schadevergoeding. Het van toepassing zijnde eigen risico zal in mindering worden gebracht.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C4494BF" w14:textId="7496C510">
            <w:pPr>
              <w:rPr>
                <w:rFonts w:ascii="Calibri" w:hAnsi="Calibri" w:eastAsia="Calibri" w:cs="Calibri"/>
                <w:color w:val="000000" w:themeColor="text1"/>
                <w:sz w:val="21"/>
                <w:szCs w:val="21"/>
              </w:rPr>
            </w:pPr>
          </w:p>
        </w:tc>
      </w:tr>
      <w:tr w:rsidR="4C5B719C" w:rsidTr="2CCF0F9E" w14:paraId="3BA5F386"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C3E297A" w14:textId="7BE6158B">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fe-12</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FE1B25E" w14:textId="33FF81BF">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Verhuur van panden: Verzekerd is het aansprakelijkheidsrisico van de gemeente als (in-)directe verhuurder of ingebruikgever van panden voor schade aan zaken die door huurders/gebruikers zijn aangebracht en deel zijn gaan uitmaken van de door de gemeente verhuurde/in gebruik gegeven panden (huurdersbelang).</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63F9E60" w14:textId="0B97F711">
            <w:pPr>
              <w:rPr>
                <w:rFonts w:ascii="Calibri" w:hAnsi="Calibri" w:eastAsia="Calibri" w:cs="Calibri"/>
                <w:color w:val="000000" w:themeColor="text1"/>
                <w:sz w:val="21"/>
                <w:szCs w:val="21"/>
              </w:rPr>
            </w:pPr>
          </w:p>
        </w:tc>
      </w:tr>
      <w:tr w:rsidR="4C5B719C" w:rsidTr="2CCF0F9E" w14:paraId="598B3A60"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5F31097" w14:textId="07D55E9C">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fe-13</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6CB0E81" w14:textId="2A6EF51A">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Het werkgeversaansprakelijkheidsrisico op grond van 7:611 BW of op grond van voorheen artikel 125 Ter Ambtenarenwet is verzekerd. Dit voor zover Opdrachtgever op grond van een rechterlijke uitspraak verplicht wordt/is uitkeringen te doen aan een werknemer wegens tekortschieten in haar zorgplicht.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2DA80C6" w14:textId="202C15CD">
            <w:pPr>
              <w:rPr>
                <w:rFonts w:ascii="Calibri" w:hAnsi="Calibri" w:eastAsia="Calibri" w:cs="Calibri"/>
                <w:color w:val="000000" w:themeColor="text1"/>
                <w:sz w:val="21"/>
                <w:szCs w:val="21"/>
              </w:rPr>
            </w:pPr>
          </w:p>
        </w:tc>
      </w:tr>
      <w:tr w:rsidR="4C5B719C" w:rsidTr="2CCF0F9E" w14:paraId="582937FB"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190D2A6" w14:textId="1CECA6A3">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fe-14</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87D57B6" w14:textId="3CEFD129">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Verzekerd is het (subsidiaire) aansprakelijkheidsrisico van Opdrachtgever volgend uit handelen of nalaten van gemeenschappelijke regelingen waaraan gemeente Zuidplas deelnemer is of van partijen waarmee gemeente Zuidplas verbonden is.</w:t>
            </w:r>
          </w:p>
          <w:p w:rsidR="4C5B719C" w:rsidP="4C5B719C" w:rsidRDefault="4C5B719C" w14:paraId="40FBB913" w14:textId="0A44598C">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Deze zijn meeverzekerd, mits de activiteiten binnen de verzekerde hoedanigheid vallen en uitsluitend voor zover er elders geen andere aansprakelijkheidsverzekering ten behoeve van deze verzekerden van kracht is. Onderlinge aansprakelijkheid is uitgesloten.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458AB33" w14:textId="21E27009">
            <w:pPr>
              <w:rPr>
                <w:rFonts w:ascii="Calibri" w:hAnsi="Calibri" w:eastAsia="Calibri" w:cs="Calibri"/>
                <w:color w:val="000000" w:themeColor="text1"/>
                <w:sz w:val="21"/>
                <w:szCs w:val="21"/>
              </w:rPr>
            </w:pPr>
          </w:p>
        </w:tc>
      </w:tr>
      <w:tr w:rsidR="4C5B719C" w:rsidTr="2CCF0F9E" w14:paraId="2E914752"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C63568B" w14:textId="0E4CCFA1">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fe-15</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86836F0" w14:textId="224672CA">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Verzekerd is het (subsidiaire) aansprakelijkheidsrisico van Opdrachtgever volgend uit handelen of nalaten van dienstverleningsovereenkomsten die de gemeente Zuidplas heeft gesloten met andere partijen.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CBB539B" w14:textId="43ACB097">
            <w:pPr>
              <w:rPr>
                <w:rFonts w:ascii="Calibri" w:hAnsi="Calibri" w:eastAsia="Calibri" w:cs="Calibri"/>
                <w:color w:val="000000" w:themeColor="text1"/>
                <w:sz w:val="21"/>
                <w:szCs w:val="21"/>
              </w:rPr>
            </w:pPr>
          </w:p>
        </w:tc>
      </w:tr>
      <w:tr w:rsidR="4C5B719C" w:rsidTr="2CCF0F9E" w14:paraId="5CA508BE"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30466BD" w14:textId="02C6058E">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fe-16</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06B98B8" w14:textId="5FE8BB1F">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Inschrijver (elk der combinanten), alsmede de eventueel door hen in te zetten onderaannemer(s) waarvan hij zich bij feitelijke uitvoering van de verzekeringsovereenkomst zal bedienen, dient (dienen) zich te conformeren aan de "Gedragscode behandeling letselschaden" zoals opgesteld door de Universiteit van Tilburg en de door het Nederlands Platform Personenschade (NPP) opgestelde richtlijnen. In het geval de gegadigde een combinatie is, dienen alle combinanten te voldoen aan deze eis.</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9066700" w14:textId="40934250">
            <w:pPr>
              <w:rPr>
                <w:rFonts w:ascii="Calibri" w:hAnsi="Calibri" w:eastAsia="Calibri" w:cs="Calibri"/>
                <w:color w:val="000000" w:themeColor="text1"/>
                <w:sz w:val="21"/>
                <w:szCs w:val="21"/>
              </w:rPr>
            </w:pPr>
          </w:p>
        </w:tc>
      </w:tr>
      <w:tr w:rsidR="4C5B719C" w:rsidTr="2CCF0F9E" w14:paraId="55619D94"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924B6FF" w14:textId="28377094">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fe-17</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09A24C6" w14:textId="47876A6F">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Opdrachtgever hecht aan een goede relatie met haar burgers en wil - in lijn met de adviezen opgenomen in het rapport van de Nationale Ombudsman "Behoorlijk omgaan met Schadeclaims door gemeenten" en bijbehorende spelregels – deze zo goed mogelijk borgen. Om die reden dient Inschrijver (elk der combinanten), alsmede de eventueel door hen in te zetten onderaannemer(s) waarvan hij zich bij feitelijke uitvoering van de verzekeringsovereenkomst zal bedienen, zich aan de volgende eisen te conformeren:</w:t>
            </w:r>
          </w:p>
          <w:p w:rsidR="4C5B719C" w:rsidP="4C5B719C" w:rsidRDefault="4C5B719C" w14:paraId="4CAFCCA0" w14:textId="7E84BC47">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bereikbaarheid 7 dagen per week 24 uur per dag is geregeld.</w:t>
            </w:r>
          </w:p>
          <w:p w:rsidR="4C5B719C" w:rsidP="4C5B719C" w:rsidRDefault="4C5B719C" w14:paraId="51F4AA6E" w14:textId="37EF8DF1">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Heldere communicatie naar de gemeente Zuidplas.</w:t>
            </w:r>
          </w:p>
          <w:p w:rsidR="4C5B719C" w:rsidP="4C5B719C" w:rsidRDefault="4C5B719C" w14:paraId="4F4A97FF" w14:textId="275A558E">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schadebehandeling en –afwikkeling dient in overeenstemming te zijn met de afspraken die vooraf met Opdrachtgever zijn gemaakt.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49BEE56" w14:textId="77AFBF8B">
            <w:pPr>
              <w:rPr>
                <w:rFonts w:ascii="Calibri" w:hAnsi="Calibri" w:eastAsia="Calibri" w:cs="Calibri"/>
                <w:color w:val="000000" w:themeColor="text1"/>
                <w:sz w:val="21"/>
                <w:szCs w:val="21"/>
              </w:rPr>
            </w:pPr>
          </w:p>
        </w:tc>
      </w:tr>
      <w:tr w:rsidR="4C5B719C" w:rsidTr="2CCF0F9E" w14:paraId="18894443"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53D981E" w14:textId="0608640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fe-18</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C00021C" w14:textId="4DA82F4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Secundair (mee)verzekerd zijn de meerderheidsdeelnemingen en de minderheidsdeelnemingen die gemeentelijke activiteiten verrichten voor zover het aandeel van de gemeente in die rechtspersoon betreft.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476B68A" w14:textId="39D6BF78">
            <w:pPr>
              <w:rPr>
                <w:rFonts w:ascii="Calibri" w:hAnsi="Calibri" w:eastAsia="Calibri" w:cs="Calibri"/>
                <w:color w:val="000000" w:themeColor="text1"/>
                <w:sz w:val="21"/>
                <w:szCs w:val="21"/>
              </w:rPr>
            </w:pPr>
          </w:p>
        </w:tc>
      </w:tr>
      <w:tr w:rsidR="4C5B719C" w:rsidTr="2CCF0F9E" w14:paraId="193A86BC"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32BC6B7" w14:textId="10556D0E">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fe-19</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453AFB4" w14:textId="7BC08F3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Relevante advisering over risicobeheersing. Dit kan door bijvoorbeeld tijdens de dienstverleningsperiode een presentatie te geven over relevante aansprakelijkheidszaken die bij de gemeente Zuidplas spelen. Opdrachtgever wenst op de hoogte gehouden te worden van de laatste ontwikkelingen op het gebied van aansprakelijkheid bij gemeenten en de wijze waarop aansprakelijkheidsrisico's beheerst kunnen worden.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198AA98" w14:textId="7D0621FB">
            <w:pPr>
              <w:rPr>
                <w:rFonts w:ascii="Calibri" w:hAnsi="Calibri" w:eastAsia="Calibri" w:cs="Calibri"/>
                <w:color w:val="000000" w:themeColor="text1"/>
                <w:sz w:val="21"/>
                <w:szCs w:val="21"/>
              </w:rPr>
            </w:pPr>
          </w:p>
        </w:tc>
      </w:tr>
      <w:tr w:rsidR="4C5B719C" w:rsidTr="2CCF0F9E" w14:paraId="6ED34622"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A003B3C" w14:textId="78446DA1">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fe-20</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3EB5738" w14:textId="567C713D">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Opzichtschades zijn -los van fe-22- meeverzekerd tot EUR 25.000,- per aanspraak met een maximum van EUR 50.000,- per jaar.</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16F047B" w14:textId="0D466516">
            <w:pPr>
              <w:rPr>
                <w:rFonts w:ascii="Calibri" w:hAnsi="Calibri" w:eastAsia="Calibri" w:cs="Calibri"/>
                <w:color w:val="000000" w:themeColor="text1"/>
                <w:sz w:val="21"/>
                <w:szCs w:val="21"/>
              </w:rPr>
            </w:pPr>
          </w:p>
        </w:tc>
      </w:tr>
      <w:tr w:rsidR="4C5B719C" w:rsidTr="2CCF0F9E" w14:paraId="33CEE1E2"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4831BE4" w14:textId="2F8EBDF2">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fe-21</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53C9BEB" w14:textId="27451F7C">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Inschrijver dient een Servicemodule aan te kunnen bieden waarvan Opdrachtgever de vrijheid heeft deze wel of niet te gebruiken op ieder moment gedurende de looptijd van de gevraagde verzekeringsovereenkomst. Dit houdt in dat de afwikkeling van alle aansprakelijkstellingen beneden het eigen risico door de verzekeringsmaatschappij voor personen-, zaak- en vermogensschade door de leverancier afgehandeld worden. Op het moment dat Opdrachtgever voor gebruik van de Servicemodule zou kiezen:</w:t>
            </w:r>
          </w:p>
          <w:p w:rsidR="4C5B719C" w:rsidP="4C5B719C" w:rsidRDefault="4C5B719C" w14:paraId="6E9D07DB" w14:textId="5AB13B11">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dient Inschrijver met betrekking tot de hierboven genoemde servicemodule aan te kunnen tonen te beschikken over een organisatie die in staat is de afhandeling van de aansprakelijkstellingen goed en efficiënt uit te voeren;</w:t>
            </w:r>
          </w:p>
          <w:p w:rsidR="4C5B719C" w:rsidP="4C5B719C" w:rsidRDefault="4C5B719C" w14:paraId="7785A957" w14:textId="0E43BDC4">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wordt een gebruikersvergoeding in onderling overleg bepaald. De kosten van deze servicemodule mogen dan ook uitdrukkelijk niet opgenomen worden in de jaarpremie en wordt separaat afgerekend;</w:t>
            </w:r>
          </w:p>
          <w:p w:rsidR="4C5B719C" w:rsidP="4C5B719C" w:rsidRDefault="4C5B719C" w14:paraId="04562DCE" w14:textId="7729D923">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gemeente heeft het recht om 4 schades per jaar (naar wens gemeente welk dossier), onder het eigen risico te laten behandelen, en behandelt u kosteloos voor de gemeente.</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64EDF72" w14:textId="6357F1B9">
            <w:pPr>
              <w:rPr>
                <w:rFonts w:ascii="Calibri" w:hAnsi="Calibri" w:eastAsia="Calibri" w:cs="Calibri"/>
                <w:color w:val="000000" w:themeColor="text1"/>
                <w:sz w:val="21"/>
                <w:szCs w:val="21"/>
              </w:rPr>
            </w:pPr>
          </w:p>
        </w:tc>
      </w:tr>
      <w:tr w:rsidR="4C5B719C" w:rsidTr="2CCF0F9E" w14:paraId="5BAF80B7"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A0AF1CC" w14:textId="5EFD6EAC">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fe-22</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4A4289C" w14:textId="6D61FBC5">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Verzekerd is de aansprakelijkheid van verzekerde voor schade (zaak- en letsel) in verband met het besturen of slepen door of in opdracht van de gemeente van in beslag genomen of op grond van een wettelijke regeling onder beheer of controle van verzekerde zijnde, aan derden toebehorende voertuigen en vaartuigen.</w:t>
            </w:r>
          </w:p>
          <w:p w:rsidR="4C5B719C" w:rsidP="4C5B719C" w:rsidRDefault="4C5B719C" w14:paraId="0FA66F1B" w14:textId="1E5942D4">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 dat kader is gedekt de aansprakelijkheid van verzekerde(n) voor door derden geleden schade aan de vermelde voertuigen en of vaartuigen, toegebracht tijdens het besturen, vervoeren of slepen dan wel tijdens het verblijf in al dan niet bewaakte haven, garage, werkplaats, daartoe bestemde opslagplaats of op een daartoe behorend parkeerterrein.</w:t>
            </w:r>
          </w:p>
          <w:p w:rsidR="4C5B719C" w:rsidP="4C5B719C" w:rsidRDefault="4C5B719C" w14:paraId="50AF0B9D" w14:textId="50DD4210">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Niet verzekerd is schade die op een andere verzekering verzekerd is of had moeten zijn (bijvoorbeeld een verzekering volgens de Wet Aansprakelijkheidsverzekering Motorrijtuigen (WAM), ook niet het eigen risico dat verzekerde bij die verzekering betaalt).</w:t>
            </w:r>
          </w:p>
          <w:p w:rsidR="4C5B719C" w:rsidP="4C5B719C" w:rsidRDefault="4C5B719C" w14:paraId="0C047174" w14:textId="01BC20BF">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 afwijking van een eventuele uitsluiting "aansprakelijkheidsverhogende bedingen" is gedekt de aansprakelijkheid voor schade voortvloeiend uit vrijwaringsbedingen. De uitsluiting "schade door motorrijtuigen" zal in dit verband terzijde worden gesteld.</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393195C" w14:textId="03EE5A59">
            <w:pPr>
              <w:rPr>
                <w:rFonts w:ascii="Calibri" w:hAnsi="Calibri" w:eastAsia="Calibri" w:cs="Calibri"/>
                <w:color w:val="000000" w:themeColor="text1"/>
                <w:sz w:val="21"/>
                <w:szCs w:val="21"/>
              </w:rPr>
            </w:pPr>
          </w:p>
        </w:tc>
      </w:tr>
      <w:tr w:rsidR="4C5B719C" w:rsidTr="2CCF0F9E" w14:paraId="7EC4B126"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134E2A7" w14:textId="0CBE989E">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fe-23</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868C0D8" w14:textId="634F57F3">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A: Los van de beschreven situaties in de clausule besturen/slepen kan het voorkomen dat de gemeente goederen van derden onder zich houdt. De verzekering dient een opzichtdekking te bieden met een maximum van EUR 25.000 per aanspraak in geval van schades waar normaliter de opzichtuitsluiting van toepassing geweest zou zijn binnen de verzekeringsvoorwaarden. In afwijking van de opzichtuitsluiting zijn verzekerd, opzichtschades tot EUR 25.000 per aanspraak daar waar normaal dekking was geweest onder de polis maar dit door de uitsluiting opzicht uitgesloten was geweest.</w:t>
            </w:r>
          </w:p>
          <w:p w:rsidR="4C5B719C" w:rsidP="4C5B719C" w:rsidRDefault="4C5B719C" w14:paraId="109BA83E" w14:textId="7AA9ACC5">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B: Gelijk aan de dekking AVG 035 is eveneens verzekerd dekking voor aanspraken voor schade die voortvloeien uit een besluit van de gemeente om in beslag genomen vaar- of voertuigen te vernietigen. Geen uitsluiting van dergelijke aanspraken op grond van zaakschade of vermogensschadedekking ten gevolge van beslag (ook bestuursrechtelijk beslag). Ook is het niet toegestaan om de opzichtclausule op dit soort situaties van toepassing te laten verklaren waarop vervolgens er polisdekking wordt onthouden.</w:t>
            </w:r>
          </w:p>
          <w:p w:rsidR="4C5B719C" w:rsidP="4C5B719C" w:rsidRDefault="4C5B719C" w14:paraId="454FBCEB" w14:textId="6F59C48F">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Voorbeeld: De gemeente neemt een woonboot in beslag en laat deze wegslepen op grond van artikel 5:29 en op grond van 5:30 lid 5 Awb uiteindelijk vernietigen. Een eventuele aansprakelijkstelling die daaruit voortvloeit dient gedekt te zijn middels de bepalingen 3.10.5, 3.8.4, 3.13.8, 3.13.9 en 3.13.10 (vermogensschade) AVG 035.</w:t>
            </w:r>
          </w:p>
          <w:p w:rsidR="4C5B719C" w:rsidP="4C5B719C" w:rsidRDefault="4C5B719C" w14:paraId="45A6F290" w14:textId="0E69E48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C: Dekking voor aanspraken voor schade die voortvloeien uit de in beslagname van zaken zelf door de gemeente op grond van een wettelijk voorschrift. Niet toegestaan is dat er een uitsluiting is waarin aanspraken voor schade die het gevolg zijn van een bestuursrechtelijk beslag, uitgesloten zijn van dekking op de polis. Gedekt dient dus te zijn dat in beslag genomen zaken/goederen, bij vervoer naar of tijdens verblijf in de opslagplaats worden beschadigd, hiervoor dekking onder de polis is.</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5D50A29" w14:textId="02358C6A">
            <w:pPr>
              <w:rPr>
                <w:rFonts w:ascii="Calibri" w:hAnsi="Calibri" w:eastAsia="Calibri" w:cs="Calibri"/>
                <w:color w:val="000000" w:themeColor="text1"/>
                <w:sz w:val="21"/>
                <w:szCs w:val="21"/>
              </w:rPr>
            </w:pPr>
          </w:p>
        </w:tc>
      </w:tr>
      <w:tr w:rsidR="4C5B719C" w:rsidTr="2CCF0F9E" w14:paraId="3E93F852"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0A2EF15" w14:textId="16F342D1">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fe-24</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159BE2D" w14:textId="54B91DF4">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Inschrijver is in staat schademeldingen digitaal te kunnen ontvangen op één centraal digitaal meldpunt of één (functionele) mailbox.</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D69C446" w14:textId="16A436AC">
            <w:pPr>
              <w:rPr>
                <w:rFonts w:ascii="Calibri" w:hAnsi="Calibri" w:eastAsia="Calibri" w:cs="Calibri"/>
                <w:color w:val="000000" w:themeColor="text1"/>
                <w:sz w:val="21"/>
                <w:szCs w:val="21"/>
              </w:rPr>
            </w:pPr>
          </w:p>
        </w:tc>
      </w:tr>
      <w:tr w:rsidR="4C5B719C" w:rsidTr="2CCF0F9E" w14:paraId="33B4C00E"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B23542F" w14:textId="2000A01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fe-25</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EEA2FD7" w14:textId="4BA51535">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Binnen de polis wordt tevens dekking secundair verleend voor het aansprakelijkheidsrisico van de medewerkers van de gemeenten, die gedetacheerd zijn en/of door middel van samenwerking bij anderen dan de gemeenten, tijdelijk werkzaam zijn.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40C98F6" w14:textId="26A77489">
            <w:pPr>
              <w:rPr>
                <w:rFonts w:ascii="Calibri" w:hAnsi="Calibri" w:eastAsia="Calibri" w:cs="Calibri"/>
                <w:color w:val="000000" w:themeColor="text1"/>
                <w:sz w:val="21"/>
                <w:szCs w:val="21"/>
              </w:rPr>
            </w:pPr>
          </w:p>
        </w:tc>
      </w:tr>
      <w:tr w:rsidR="4C5B719C" w:rsidTr="2CCF0F9E" w14:paraId="1429E8D2"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1211AF3" w14:textId="6022267B">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fe-26</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ADB1596" w14:textId="38F2B52E">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 het geval de door deze verzekering gedekte aansprakelijkheid ook op een andere polis is gedekt of daarop gedekt zou zijn indien de onderhavige verzekering niet zou hebben bestaan, is uitsluitend gedekt het verschil in verzekerde bedragen en het verschil in voorwaarden met die andere verzekering. In het geval de andere verzekeraars zich beroepen op een samenloopbepaling met dezelfde strekking als de onderhavige bepaling, en overleg tussen de maatschappij en die verzekeraars niet binnen 3 weken tot een voor alle partijen bevredigende oplossing leidt, dan zal de Inschrijver als regelend verzekeraar optreden waarbij de gemeente haar rechten jegens de andere verzekeraars ten belope van de totaal van de te maken kosten en schade aan Inschrijver cedeert.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0915DFF" w14:textId="576C917E">
            <w:pPr>
              <w:rPr>
                <w:rFonts w:ascii="Calibri" w:hAnsi="Calibri" w:eastAsia="Calibri" w:cs="Calibri"/>
                <w:color w:val="000000" w:themeColor="text1"/>
                <w:sz w:val="21"/>
                <w:szCs w:val="21"/>
              </w:rPr>
            </w:pPr>
          </w:p>
        </w:tc>
      </w:tr>
      <w:tr w:rsidR="4C5B719C" w:rsidTr="2CCF0F9E" w14:paraId="59956D16"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00AD752" w14:textId="4624D191">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fe-27</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8A13797" w14:textId="4D549D8B">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Secundair gedekt zijn de aansprakelijkheidsrisico's van de Burgemeester voor de verantwoordelijkheden voortvloeiend uit de Wet Veiligheidsregio's. De uitvoerende taken van de brandweer vallen hier niet onder. Ook secundair gedekt is het aansprakelijkheidsrisico van iedere burgemeester als plaatsvervangend korpsbeheerder/gezagsdrager van de politie, wanneer deze in de gemeente optreedt ter handhaving van de openbare orde en de uitvoering van de hulpverleningstaak, indien en voor zover de aansprakelijkheidsverzekering van de politieregio hiervoor geen dekking biedt. Dus ook dekking voor de activiteiten van de Burgemeester in zijn hoedanigheid als gezagsdrager van de politie (portefeuillehouder Openbare Orde en Veiligheid), voor zover niet verzekerd op de polis van de Politie.</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047B360" w14:textId="1B6B4ADA">
            <w:pPr>
              <w:rPr>
                <w:rFonts w:ascii="Calibri" w:hAnsi="Calibri" w:eastAsia="Calibri" w:cs="Calibri"/>
                <w:color w:val="000000" w:themeColor="text1"/>
                <w:sz w:val="21"/>
                <w:szCs w:val="21"/>
              </w:rPr>
            </w:pPr>
          </w:p>
        </w:tc>
      </w:tr>
      <w:tr w:rsidR="4C5B719C" w:rsidTr="2CCF0F9E" w14:paraId="2A85E2FE"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CE299BE" w14:textId="587DBA65">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fe-28</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58DFE1E" w14:textId="3F7504D8">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Inschrijver biedt dekking voor schade als gevolg van terrorisme, kwaadwillige besmetting en/of preventieve maatregelen en handelingen. Deze dekking is volgens de NHT clausule dan wel een met deze clausule vergelijkbare regeling.</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5BC2602" w14:textId="7D320F36">
            <w:pPr>
              <w:rPr>
                <w:rFonts w:ascii="Calibri" w:hAnsi="Calibri" w:eastAsia="Calibri" w:cs="Calibri"/>
                <w:color w:val="000000" w:themeColor="text1"/>
                <w:sz w:val="21"/>
                <w:szCs w:val="21"/>
              </w:rPr>
            </w:pPr>
          </w:p>
        </w:tc>
      </w:tr>
      <w:tr w:rsidR="4C5B719C" w:rsidTr="2CCF0F9E" w14:paraId="4DC4D78C"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083AD00" w14:textId="7B835CAA">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fe-29</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62BB621" w14:textId="0F24C134">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 aanvulling op artikel 1.2 AVG 035 van de voorwaarden wordt tevens als verzekerde beschouwd:</w:t>
            </w:r>
          </w:p>
          <w:p w:rsidR="4C5B719C" w:rsidP="4C5B719C" w:rsidRDefault="4C5B719C" w14:paraId="167F2CF6" w14:textId="149097B6">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Stichting Evenement</w:t>
            </w:r>
          </w:p>
          <w:p w:rsidR="4C5B719C" w:rsidP="4C5B719C" w:rsidRDefault="4C5B719C" w14:paraId="3BE87A3C" w14:textId="57812DF3">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Nieuwerkerkse muziekschool</w:t>
            </w:r>
          </w:p>
          <w:p w:rsidR="4C5B719C" w:rsidP="4C5B719C" w:rsidRDefault="4C5B719C" w14:paraId="3F166DD2" w14:textId="2746DCB4">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Stichting Bibliotheek De Groene Venen</w:t>
            </w:r>
          </w:p>
          <w:p w:rsidR="4C5B719C" w:rsidP="4C5B719C" w:rsidRDefault="4C5B719C" w14:paraId="33FE40A1" w14:textId="51E931A5">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Nutsbibliotheek</w:t>
            </w:r>
          </w:p>
          <w:p w:rsidR="4C5B719C" w:rsidP="4C5B719C" w:rsidRDefault="4C5B719C" w14:paraId="1EF2083D" w14:textId="508C76C3">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Sportstichting Zuidplas.</w:t>
            </w:r>
          </w:p>
          <w:p w:rsidR="4C5B719C" w:rsidP="4C5B719C" w:rsidRDefault="4C5B719C" w14:paraId="37E0D29B" w14:textId="3DC376FD">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Het eigen risico voor deze verzekerden bedraagt EUR 250,- per aanspraak.</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D839641" w14:textId="3F19470D">
            <w:pPr>
              <w:rPr>
                <w:rFonts w:ascii="Calibri" w:hAnsi="Calibri" w:eastAsia="Calibri" w:cs="Calibri"/>
                <w:color w:val="000000" w:themeColor="text1"/>
                <w:sz w:val="21"/>
                <w:szCs w:val="21"/>
              </w:rPr>
            </w:pPr>
          </w:p>
        </w:tc>
      </w:tr>
      <w:tr w:rsidR="4C5B719C" w:rsidTr="2CCF0F9E" w14:paraId="2430752D"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CC6288C" w14:textId="1531677F">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fe-30</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DB009D8" w14:textId="148F8F3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Inschrijver gaat akkoord met de inhoud van bijgevoegde dienstverleningsovereenkomst.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B5702D1" w14:textId="0FA747E6">
            <w:pPr>
              <w:rPr>
                <w:rFonts w:ascii="Calibri" w:hAnsi="Calibri" w:eastAsia="Calibri" w:cs="Calibri"/>
                <w:color w:val="000000" w:themeColor="text1"/>
                <w:sz w:val="21"/>
                <w:szCs w:val="21"/>
              </w:rPr>
            </w:pPr>
          </w:p>
        </w:tc>
      </w:tr>
      <w:tr w:rsidR="4C5B719C" w:rsidTr="2CCF0F9E" w14:paraId="3EAAB4F0"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59D94AB" w14:textId="17895608">
            <w:pPr>
              <w:rPr>
                <w:rFonts w:ascii="Calibri" w:hAnsi="Calibri" w:eastAsia="Calibri" w:cs="Calibri"/>
                <w:color w:val="000000" w:themeColor="text1"/>
                <w:sz w:val="21"/>
                <w:szCs w:val="21"/>
              </w:rPr>
            </w:pPr>
            <w:r w:rsidRPr="2CCF0F9E" w:rsidR="4C5B719C">
              <w:rPr>
                <w:rFonts w:ascii="Calibri" w:hAnsi="Calibri" w:eastAsia="Calibri" w:cs="Calibri"/>
                <w:color w:val="000000" w:themeColor="text1" w:themeTint="FF" w:themeShade="FF"/>
                <w:sz w:val="21"/>
                <w:szCs w:val="21"/>
              </w:rPr>
              <w:t>fe</w:t>
            </w:r>
            <w:r w:rsidRPr="2CCF0F9E" w:rsidR="4C5B719C">
              <w:rPr>
                <w:rFonts w:ascii="Calibri" w:hAnsi="Calibri" w:eastAsia="Calibri" w:cs="Calibri"/>
                <w:color w:val="000000" w:themeColor="text1" w:themeTint="FF" w:themeShade="FF"/>
                <w:sz w:val="21"/>
                <w:szCs w:val="21"/>
              </w:rPr>
              <w:t>-3</w:t>
            </w:r>
            <w:r w:rsidRPr="2CCF0F9E" w:rsidR="40869E22">
              <w:rPr>
                <w:rFonts w:ascii="Calibri" w:hAnsi="Calibri" w:eastAsia="Calibri" w:cs="Calibri"/>
                <w:color w:val="000000" w:themeColor="text1" w:themeTint="FF" w:themeShade="FF"/>
                <w:sz w:val="21"/>
                <w:szCs w:val="21"/>
              </w:rPr>
              <w:t>1</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60FF5DE" w14:textId="7B83753E">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Secundair meeverzekerd zijn Vereniging van eigenaren waar de gemeente een belang in heeft. Deze medeverzekering geldt uitsluitend voor het aandeel dat verzekerde in bedoelde VVE heeft en dat deze verzekering nimmer dekking biedt voor de overige leden in de VVE.</w:t>
            </w:r>
          </w:p>
          <w:p w:rsidR="4C5B719C" w:rsidP="4C5B719C" w:rsidRDefault="4C5B719C" w14:paraId="5BD52601" w14:textId="1BAF1C8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dekking geldt uitsluitend indien (1) de VVE heeft nagelaten een eigen aansprakelijkheidsverzekering af te sluiten of (2) de limiet van de AVB van de VVE ontoereikend is en verzekerde voor het surplus voor haar aandeel in de VVE wordt aangesproken. Het is het beleid van de gemeente dat elke VVE over haar eigen AVB beschikt.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8A3EFB0" w14:textId="597F1E9A">
            <w:pPr>
              <w:rPr>
                <w:rFonts w:ascii="Calibri" w:hAnsi="Calibri" w:eastAsia="Calibri" w:cs="Calibri"/>
                <w:color w:val="000000" w:themeColor="text1"/>
                <w:sz w:val="21"/>
                <w:szCs w:val="21"/>
              </w:rPr>
            </w:pPr>
          </w:p>
        </w:tc>
      </w:tr>
      <w:tr w:rsidR="4C5B719C" w:rsidTr="2CCF0F9E" w14:paraId="0B502AA5"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677153E" w14:textId="56AB28A1">
            <w:pPr>
              <w:rPr>
                <w:rFonts w:ascii="Calibri" w:hAnsi="Calibri" w:eastAsia="Calibri" w:cs="Calibri"/>
                <w:color w:val="000000" w:themeColor="text1"/>
                <w:sz w:val="21"/>
                <w:szCs w:val="21"/>
              </w:rPr>
            </w:pPr>
            <w:r w:rsidRPr="2CCF0F9E" w:rsidR="4C5B719C">
              <w:rPr>
                <w:rFonts w:ascii="Calibri" w:hAnsi="Calibri" w:eastAsia="Calibri" w:cs="Calibri"/>
                <w:color w:val="000000" w:themeColor="text1" w:themeTint="FF" w:themeShade="FF"/>
                <w:sz w:val="21"/>
                <w:szCs w:val="21"/>
              </w:rPr>
              <w:t>fe</w:t>
            </w:r>
            <w:r w:rsidRPr="2CCF0F9E" w:rsidR="4C5B719C">
              <w:rPr>
                <w:rFonts w:ascii="Calibri" w:hAnsi="Calibri" w:eastAsia="Calibri" w:cs="Calibri"/>
                <w:color w:val="000000" w:themeColor="text1" w:themeTint="FF" w:themeShade="FF"/>
                <w:sz w:val="21"/>
                <w:szCs w:val="21"/>
              </w:rPr>
              <w:t>-3</w:t>
            </w:r>
            <w:r w:rsidRPr="2CCF0F9E" w:rsidR="3720B8EA">
              <w:rPr>
                <w:rFonts w:ascii="Calibri" w:hAnsi="Calibri" w:eastAsia="Calibri" w:cs="Calibri"/>
                <w:color w:val="000000" w:themeColor="text1" w:themeTint="FF" w:themeShade="FF"/>
                <w:sz w:val="21"/>
                <w:szCs w:val="21"/>
              </w:rPr>
              <w:t>2</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2914AF7" w14:textId="0B09124B">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Voorlopige dekking in geval van bezwaar op gunning: Indien tegen de voorlopige gunningsbeslissing door één der andere inschrijvers rechtsmiddelen worden aangewend en de rechter in het kortgeding het bezwaar toewijst, zal de Inschrijver aan wie de verzekering voorlopig was gegund, zorgdragen voor volledige en onverkorte dekking over de gehele periode vanaf 31-12-2023 tot het moment dat bekend is aan wie definitief gegund gaat worden. Daarbij wordt de premie als volgt verrekend: aantal dagen dat de dekking van kracht is gedeeld door 365 vermenigvuldigd met de geoffreerde jaarpremie.</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931982D" w14:textId="15404866">
            <w:pPr>
              <w:rPr>
                <w:rFonts w:ascii="Calibri" w:hAnsi="Calibri" w:eastAsia="Calibri" w:cs="Calibri"/>
                <w:color w:val="000000" w:themeColor="text1"/>
                <w:sz w:val="21"/>
                <w:szCs w:val="21"/>
              </w:rPr>
            </w:pPr>
          </w:p>
        </w:tc>
      </w:tr>
      <w:tr w:rsidR="4C5B719C" w:rsidTr="2CCF0F9E" w14:paraId="44961B36"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7030DB5" w14:textId="5CE5D474">
            <w:pPr>
              <w:rPr>
                <w:rFonts w:ascii="Calibri" w:hAnsi="Calibri" w:eastAsia="Calibri" w:cs="Calibri"/>
                <w:color w:val="000000" w:themeColor="text1"/>
                <w:sz w:val="21"/>
                <w:szCs w:val="21"/>
              </w:rPr>
            </w:pPr>
            <w:r w:rsidRPr="2CCF0F9E" w:rsidR="4C5B719C">
              <w:rPr>
                <w:rFonts w:ascii="Calibri" w:hAnsi="Calibri" w:eastAsia="Calibri" w:cs="Calibri"/>
                <w:color w:val="000000" w:themeColor="text1" w:themeTint="FF" w:themeShade="FF"/>
                <w:sz w:val="21"/>
                <w:szCs w:val="21"/>
              </w:rPr>
              <w:t>fe</w:t>
            </w:r>
            <w:r w:rsidRPr="2CCF0F9E" w:rsidR="4C5B719C">
              <w:rPr>
                <w:rFonts w:ascii="Calibri" w:hAnsi="Calibri" w:eastAsia="Calibri" w:cs="Calibri"/>
                <w:color w:val="000000" w:themeColor="text1" w:themeTint="FF" w:themeShade="FF"/>
                <w:sz w:val="21"/>
                <w:szCs w:val="21"/>
              </w:rPr>
              <w:t>-3</w:t>
            </w:r>
            <w:r w:rsidRPr="2CCF0F9E" w:rsidR="652B6537">
              <w:rPr>
                <w:rFonts w:ascii="Calibri" w:hAnsi="Calibri" w:eastAsia="Calibri" w:cs="Calibri"/>
                <w:color w:val="000000" w:themeColor="text1" w:themeTint="FF" w:themeShade="FF"/>
                <w:sz w:val="21"/>
                <w:szCs w:val="21"/>
              </w:rPr>
              <w:t>3</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664D5125" w14:textId="1A65501D">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Praktijkervaringsplekken zijn nadrukkelijk als activiteit en aanvullend in het kader van 1.2.15 verzekerd.</w:t>
            </w:r>
          </w:p>
          <w:p w:rsidR="4C5B719C" w:rsidP="4C5B719C" w:rsidRDefault="4C5B719C" w14:paraId="4374AE81" w14:textId="6C4E62E3">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Medeverzekerden zijn medewerkers op praktijkervaringsplekken, op het moment dat en zolang zij werkzaamheden uitvoeren voor de gemeente. Tevens dient de medewerker werkzaamheden uit te voeren die in het verlengde liggen van gemeentelijke activiteiten.</w:t>
            </w:r>
          </w:p>
          <w:p w:rsidR="4C5B719C" w:rsidP="4C5B719C" w:rsidRDefault="4C5B719C" w14:paraId="7996A195" w14:textId="43BF684B">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Middels artikel 1.2.15 van de AVG035 gelden zowel vrijwilligers, bijstandscliënten, als bedrijven die deelnemen in praktijkervaringsprojecten die geïnitieerd zijn op grond van de Participatiewet, als verzekerden op de aansprakelijkheidspolis van de gemeente.</w:t>
            </w:r>
          </w:p>
          <w:p w:rsidR="4C5B719C" w:rsidP="4C5B719C" w:rsidRDefault="4C5B719C" w14:paraId="1E1F8112" w14:textId="3371BD48">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 de bepaling dient u op te nemen: Wij bieden secundaire dekking voor bedrijven, vrijwilligers en bijstandscliënten die deelnemen aan praktijkervaringsprojecten; voor zover handelend als zodanig. Bedrijven, vrijwilligers en bijstandscliënten die deelnemen aan praktijkervaringsprojecten zullen, voor zover zij als zodanig handelen, in deze polis ten opzichte van elkaar als derden worden beschouwd. Onder praktijkervaringsprojecten wordt verstaan projecten die zijn geïnitieerd op grond van de Participatiewet.</w:t>
            </w:r>
          </w:p>
          <w:p w:rsidR="4C5B719C" w:rsidP="4C5B719C" w:rsidRDefault="4C5B719C" w14:paraId="677E3984" w14:textId="5220601A">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Gedekt op de aansprakelijkheidspolis van de gemeente is zodoende:</w:t>
            </w:r>
          </w:p>
          <w:p w:rsidR="4C5B719C" w:rsidP="4C5B719C" w:rsidRDefault="4C5B719C" w14:paraId="163E5737" w14:textId="1052CFD0">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aansprakelijkheid voor schade van het bedrijf dat de participatieplek beschikbaar stelt jegens de bijstandscliënt of vrijwilliger die de participatieplek inneemt (ofwel de werkgeversaansprakelijkheid).</w:t>
            </w:r>
          </w:p>
          <w:p w:rsidR="4C5B719C" w:rsidP="4C5B719C" w:rsidRDefault="4C5B719C" w14:paraId="0A61D23D" w14:textId="08DB1DE1">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aansprakelijkheid voor schade van de vrijwilliger of bijstandscliënt, die deze veroorzaakt aan het bedrijf zelf.</w:t>
            </w:r>
          </w:p>
          <w:p w:rsidR="4C5B719C" w:rsidP="4C5B719C" w:rsidRDefault="4C5B719C" w14:paraId="48F69118" w14:textId="66F9EDC3">
            <w:pPr>
              <w:pStyle w:val="Lijstalinea"/>
              <w:numPr>
                <w:ilvl w:val="0"/>
                <w:numId w:val="2"/>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aansprakelijkheid van het bedrijf jegens derden voor zover de schade wordt veroorzaakt door de bijstandscliënt of vrijwilliger.</w:t>
            </w:r>
          </w:p>
          <w:p w:rsidR="4C5B719C" w:rsidP="4C5B719C" w:rsidRDefault="4C5B719C" w14:paraId="080D97E4" w14:textId="7A5CF687">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Deze dekking geldt uitsluitend voor zover wordt gehandeld in de hoedanigheid van deelnemer aan het participatieproject. De dekking is secundair ten opzichte van de AVB van het bedrijf dat de participatieplek beschikbaar stelt.</w:t>
            </w:r>
          </w:p>
          <w:p w:rsidR="4C5B719C" w:rsidP="4C5B719C" w:rsidRDefault="4C5B719C" w14:paraId="5C4C733C" w14:textId="6FA12599">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Beoogd is dat bedrijven er middels deze dekking ervan verzekerd zijn, dat ze geen extra risico's op zich nemen door deelname aan een praktijkervaringsproject. Zij kunnen bij schade, nu zij zelf een verzekerde zijn, ook rechtstreeks een beroep doen op de AVG-verzekering.</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63BBC9B" w14:textId="0C02422F">
            <w:pPr>
              <w:rPr>
                <w:rFonts w:ascii="Calibri" w:hAnsi="Calibri" w:eastAsia="Calibri" w:cs="Calibri"/>
                <w:color w:val="000000" w:themeColor="text1"/>
                <w:sz w:val="21"/>
                <w:szCs w:val="21"/>
              </w:rPr>
            </w:pPr>
          </w:p>
        </w:tc>
      </w:tr>
      <w:tr w:rsidR="4C5B719C" w:rsidTr="2CCF0F9E" w14:paraId="6DCF65A7"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025A46C" w14:textId="0AE0DF26">
            <w:pPr>
              <w:rPr>
                <w:rFonts w:ascii="Calibri" w:hAnsi="Calibri" w:eastAsia="Calibri" w:cs="Calibri"/>
                <w:color w:val="000000" w:themeColor="text1"/>
                <w:sz w:val="21"/>
                <w:szCs w:val="21"/>
              </w:rPr>
            </w:pPr>
            <w:r w:rsidRPr="2CCF0F9E" w:rsidR="4C5B719C">
              <w:rPr>
                <w:rFonts w:ascii="Calibri" w:hAnsi="Calibri" w:eastAsia="Calibri" w:cs="Calibri"/>
                <w:color w:val="000000" w:themeColor="text1" w:themeTint="FF" w:themeShade="FF"/>
                <w:sz w:val="21"/>
                <w:szCs w:val="21"/>
              </w:rPr>
              <w:t>fe</w:t>
            </w:r>
            <w:r w:rsidRPr="2CCF0F9E" w:rsidR="4C5B719C">
              <w:rPr>
                <w:rFonts w:ascii="Calibri" w:hAnsi="Calibri" w:eastAsia="Calibri" w:cs="Calibri"/>
                <w:color w:val="000000" w:themeColor="text1" w:themeTint="FF" w:themeShade="FF"/>
                <w:sz w:val="21"/>
                <w:szCs w:val="21"/>
              </w:rPr>
              <w:t>-3</w:t>
            </w:r>
            <w:r w:rsidRPr="2CCF0F9E" w:rsidR="3E0FB7D7">
              <w:rPr>
                <w:rFonts w:ascii="Calibri" w:hAnsi="Calibri" w:eastAsia="Calibri" w:cs="Calibri"/>
                <w:color w:val="000000" w:themeColor="text1" w:themeTint="FF" w:themeShade="FF"/>
                <w:sz w:val="21"/>
                <w:szCs w:val="21"/>
              </w:rPr>
              <w:t>4</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AB9AB31" w14:textId="1443970C">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Secundaire dekking van aansprakelijkheid voor schade die het gevolg is van werken waarvan de gemeente opdrachtgever/uitvoerder is.</w:t>
            </w:r>
          </w:p>
          <w:p w:rsidR="4C5B719C" w:rsidP="4C5B719C" w:rsidRDefault="4C5B719C" w14:paraId="0DDB0918" w14:textId="61585C67">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Niet toegestaan is een uitsluiting voor schade van de gemeente als gevolg van aansprakelijkheid voor schade die het gevolg is van werken waarvan de gemeente opdrachtgever, uitvoerder etc. is. Het aansprakelijkheidsrisico van de gemeente zelf is hier bedoeld als een situatie waarin zij opdracht geeft voor werken of werken (deels) zelf uitvoert.</w:t>
            </w:r>
          </w:p>
          <w:p w:rsidR="4C5B719C" w:rsidP="4C5B719C" w:rsidRDefault="4C5B719C" w14:paraId="542ABDDD" w14:textId="1A01B3EA">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Dekking wordt geboden tot aan de verzekerde som en niet beperkt tot de bouwtermijn; dus ook dekking bieden voor de schade die binnen de onderhoudstermijn is ontstaan of veroorzaakt.</w:t>
            </w:r>
          </w:p>
          <w:p w:rsidR="4C5B719C" w:rsidP="4C5B719C" w:rsidRDefault="4C5B719C" w14:paraId="25EC221F" w14:textId="0758A225">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Eis voor secundaire dekking: er is geen CAR-verzekering waarop dekking geboden kan worden. Binnen de polisvoorwaarden is het niet relevant om welke reden de CAR-verzekering geen dekking biedt. Indien de CAR-verzekering geen dekking biedt, om wat voor reden dan ook, dan is er dekking op de polis.</w:t>
            </w:r>
          </w:p>
          <w:p w:rsidR="4C5B719C" w:rsidP="4C5B719C" w:rsidRDefault="4C5B719C" w14:paraId="585DDF47" w14:textId="3215B6D2">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Geen beperkingen in bedrag: als de waarde van het werk groter is dan € 25.000,- is er toch sprake van dekking. Indien er sprake is van heiwerkzaamheden, slaan van damwanden, saneringen etc., is er ook dekking onder de polis.</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3092FEE" w14:textId="6A9FFF4C">
            <w:pPr>
              <w:rPr>
                <w:rFonts w:ascii="Calibri" w:hAnsi="Calibri" w:eastAsia="Calibri" w:cs="Calibri"/>
                <w:color w:val="000000" w:themeColor="text1"/>
                <w:sz w:val="21"/>
                <w:szCs w:val="21"/>
              </w:rPr>
            </w:pPr>
          </w:p>
        </w:tc>
      </w:tr>
      <w:tr w:rsidR="4C5B719C" w:rsidTr="2CCF0F9E" w14:paraId="46692D76" w14:textId="77777777">
        <w:trPr>
          <w:trHeight w:val="300"/>
        </w:trPr>
        <w:tc>
          <w:tcPr>
            <w:tcW w:w="69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D2CE85B" w14:textId="499271F8">
            <w:pPr>
              <w:rPr>
                <w:rFonts w:ascii="Calibri" w:hAnsi="Calibri" w:eastAsia="Calibri" w:cs="Calibri"/>
                <w:color w:val="000000" w:themeColor="text1"/>
                <w:sz w:val="21"/>
                <w:szCs w:val="21"/>
              </w:rPr>
            </w:pPr>
            <w:r w:rsidRPr="2CCF0F9E" w:rsidR="4C5B719C">
              <w:rPr>
                <w:rFonts w:ascii="Calibri" w:hAnsi="Calibri" w:eastAsia="Calibri" w:cs="Calibri"/>
                <w:color w:val="000000" w:themeColor="text1" w:themeTint="FF" w:themeShade="FF"/>
                <w:sz w:val="21"/>
                <w:szCs w:val="21"/>
              </w:rPr>
              <w:t>fe</w:t>
            </w:r>
            <w:r w:rsidRPr="2CCF0F9E" w:rsidR="4C5B719C">
              <w:rPr>
                <w:rFonts w:ascii="Calibri" w:hAnsi="Calibri" w:eastAsia="Calibri" w:cs="Calibri"/>
                <w:color w:val="000000" w:themeColor="text1" w:themeTint="FF" w:themeShade="FF"/>
                <w:sz w:val="21"/>
                <w:szCs w:val="21"/>
              </w:rPr>
              <w:t>-3</w:t>
            </w:r>
            <w:r w:rsidRPr="2CCF0F9E" w:rsidR="0F25290C">
              <w:rPr>
                <w:rFonts w:ascii="Calibri" w:hAnsi="Calibri" w:eastAsia="Calibri" w:cs="Calibri"/>
                <w:color w:val="000000" w:themeColor="text1" w:themeTint="FF" w:themeShade="FF"/>
                <w:sz w:val="21"/>
                <w:szCs w:val="21"/>
              </w:rPr>
              <w:t>5</w:t>
            </w:r>
          </w:p>
        </w:tc>
        <w:tc>
          <w:tcPr>
            <w:tcW w:w="802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79A234A" w14:textId="72FBAAE8">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Dekking van verweerskosten boven de verzekerde som: Indien een claim de verzekerde som te boven gaat, zijn desalniettemin de kosten van verweer volledig mee gedekt op de polis, ondanks dat de verzekerde som uitgeput is.</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B5799C3" w14:textId="6E12A875">
            <w:pPr>
              <w:rPr>
                <w:rFonts w:ascii="Calibri" w:hAnsi="Calibri" w:eastAsia="Calibri" w:cs="Calibri"/>
                <w:color w:val="000000" w:themeColor="text1"/>
                <w:sz w:val="21"/>
                <w:szCs w:val="21"/>
              </w:rPr>
            </w:pPr>
          </w:p>
        </w:tc>
      </w:tr>
    </w:tbl>
    <w:p w:rsidR="4C5B719C" w:rsidP="4C5B719C" w:rsidRDefault="4C5B719C" w14:paraId="45D4EA15" w14:textId="46A6A7EC"/>
    <w:p w:rsidR="4C5B719C" w:rsidP="4C5B719C" w:rsidRDefault="4C5B719C" w14:paraId="13623F8B" w14:textId="273AA4F9"/>
    <w:p w:rsidR="4C5B719C" w:rsidP="4C5B719C" w:rsidRDefault="4C5B719C" w14:paraId="5DDB61BE" w14:textId="6CFFFC7C"/>
    <w:p w:rsidR="4C5B719C" w:rsidP="4C5B719C" w:rsidRDefault="4C5B719C" w14:paraId="43D4ADB9" w14:textId="0F0EC787"/>
    <w:p w:rsidR="4C5B719C" w:rsidP="4C5B719C" w:rsidRDefault="4C5B719C" w14:paraId="610BCBA3" w14:textId="515845D6"/>
    <w:p w:rsidR="4C5B719C" w:rsidP="4C5B719C" w:rsidRDefault="4C5B719C" w14:paraId="01ACC1D9" w14:textId="4E7733FF"/>
    <w:p w:rsidR="4C5B719C" w:rsidP="4C5B719C" w:rsidRDefault="4C5B719C" w14:paraId="22B646EE" w14:textId="5ABCCB77"/>
    <w:p w:rsidR="4C5B719C" w:rsidP="4C5B719C" w:rsidRDefault="4C5B719C" w14:paraId="5B93FBAA" w14:textId="567B3360"/>
    <w:p w:rsidR="3E87DE6E" w:rsidP="4C5B719C" w:rsidRDefault="3E87DE6E" w14:paraId="203F75C8" w14:textId="4649EF72">
      <w:pPr>
        <w:rPr>
          <w:rFonts w:ascii="Calibri" w:hAnsi="Calibri" w:eastAsia="Calibri" w:cs="Calibri"/>
          <w:b/>
          <w:bCs/>
          <w:color w:val="000000" w:themeColor="text1"/>
          <w:sz w:val="21"/>
          <w:szCs w:val="21"/>
        </w:rPr>
      </w:pPr>
      <w:r w:rsidRPr="4C5B719C">
        <w:rPr>
          <w:rFonts w:asciiTheme="minorHAnsi" w:hAnsiTheme="minorHAnsi" w:eastAsiaTheme="minorEastAsia" w:cstheme="minorBidi"/>
          <w:b/>
          <w:bCs/>
          <w:color w:val="000000" w:themeColor="text1"/>
          <w:sz w:val="21"/>
          <w:szCs w:val="21"/>
        </w:rPr>
        <w:t>Dienstverleningseisen</w:t>
      </w:r>
    </w:p>
    <w:tbl>
      <w:tblPr>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954"/>
        <w:gridCol w:w="7275"/>
        <w:gridCol w:w="827"/>
      </w:tblGrid>
      <w:tr w:rsidR="4C5B719C" w:rsidTr="4C5B719C" w14:paraId="67324791" w14:textId="77777777">
        <w:trPr>
          <w:trHeight w:val="300"/>
        </w:trPr>
        <w:tc>
          <w:tcPr>
            <w:tcW w:w="735"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4AA3DDCF" w14:textId="75841EBD">
            <w:pPr>
              <w:rPr>
                <w:rFonts w:ascii="Calibri" w:hAnsi="Calibri" w:eastAsia="Calibri" w:cs="Calibri"/>
                <w:color w:val="000000" w:themeColor="text1"/>
                <w:sz w:val="21"/>
                <w:szCs w:val="21"/>
              </w:rPr>
            </w:pPr>
            <w:r w:rsidRPr="4C5B719C">
              <w:rPr>
                <w:rFonts w:ascii="Calibri" w:hAnsi="Calibri" w:eastAsia="Calibri" w:cs="Calibri"/>
                <w:b/>
                <w:bCs/>
                <w:color w:val="000000" w:themeColor="text1"/>
                <w:sz w:val="21"/>
                <w:szCs w:val="21"/>
              </w:rPr>
              <w:t>Nummer</w:t>
            </w:r>
          </w:p>
        </w:tc>
        <w:tc>
          <w:tcPr>
            <w:tcW w:w="798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79C5BAC7" w14:textId="573B9D21">
            <w:pPr>
              <w:rPr>
                <w:rFonts w:ascii="Calibri" w:hAnsi="Calibri" w:eastAsia="Calibri" w:cs="Calibri"/>
                <w:color w:val="000000" w:themeColor="text1"/>
                <w:sz w:val="21"/>
                <w:szCs w:val="21"/>
              </w:rPr>
            </w:pPr>
            <w:r w:rsidRPr="4C5B719C">
              <w:rPr>
                <w:rFonts w:ascii="Calibri" w:hAnsi="Calibri" w:eastAsia="Calibri" w:cs="Calibri"/>
                <w:b/>
                <w:bCs/>
                <w:color w:val="000000" w:themeColor="text1"/>
                <w:sz w:val="21"/>
                <w:szCs w:val="21"/>
              </w:rPr>
              <w:t>Eis</w:t>
            </w:r>
          </w:p>
        </w:tc>
        <w:tc>
          <w:tcPr>
            <w:tcW w:w="900" w:type="dxa"/>
            <w:tcBorders>
              <w:top w:val="single" w:color="999999" w:sz="6" w:space="0"/>
              <w:left w:val="single" w:color="999999" w:sz="6" w:space="0"/>
              <w:bottom w:val="single" w:color="999999" w:sz="6" w:space="0"/>
              <w:right w:val="single" w:color="999999" w:sz="6" w:space="0"/>
            </w:tcBorders>
            <w:shd w:val="clear" w:color="auto" w:fill="D9E2F3" w:themeFill="accent1" w:themeFillTint="33"/>
            <w:tcMar>
              <w:top w:w="75" w:type="dxa"/>
              <w:left w:w="90" w:type="dxa"/>
              <w:bottom w:w="75" w:type="dxa"/>
              <w:right w:w="90" w:type="dxa"/>
            </w:tcMar>
          </w:tcPr>
          <w:p w:rsidR="4C5B719C" w:rsidP="4C5B719C" w:rsidRDefault="4C5B719C" w14:paraId="48FAEBEF" w14:textId="08EB814E">
            <w:pPr>
              <w:rPr>
                <w:rFonts w:ascii="Calibri" w:hAnsi="Calibri" w:eastAsia="Calibri" w:cs="Calibri"/>
                <w:color w:val="000000" w:themeColor="text1"/>
                <w:sz w:val="21"/>
                <w:szCs w:val="21"/>
              </w:rPr>
            </w:pPr>
            <w:r w:rsidRPr="4C5B719C">
              <w:rPr>
                <w:rFonts w:ascii="Calibri" w:hAnsi="Calibri" w:eastAsia="Calibri" w:cs="Calibri"/>
                <w:b/>
                <w:bCs/>
                <w:color w:val="000000" w:themeColor="text1"/>
                <w:sz w:val="21"/>
                <w:szCs w:val="21"/>
              </w:rPr>
              <w:t>Ja / Nee</w:t>
            </w:r>
          </w:p>
        </w:tc>
      </w:tr>
      <w:tr w:rsidR="4C5B719C" w:rsidTr="4C5B719C" w14:paraId="3B731A03"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5138BC4" w14:textId="7C1EAB32">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de-1</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4A9917F" w14:textId="500F8840">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Accountmanagement: Van Inschrijver wordt verwacht dat deze een vast contactpersoon/accountmanager/aanspreekpunt (en vervanger) aanstelt voor alle communicatie tussen de Gemeente en Inschrijver.</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350D595" w14:textId="32A2D3B2">
            <w:pPr>
              <w:rPr>
                <w:rFonts w:ascii="Calibri" w:hAnsi="Calibri" w:eastAsia="Calibri" w:cs="Calibri"/>
                <w:color w:val="000000" w:themeColor="text1"/>
                <w:sz w:val="21"/>
                <w:szCs w:val="21"/>
              </w:rPr>
            </w:pPr>
          </w:p>
        </w:tc>
      </w:tr>
      <w:tr w:rsidR="4C5B719C" w:rsidTr="4C5B719C" w14:paraId="0C798FD3"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5B36364" w14:textId="42B09F91">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de-2</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BBB2A10" w14:textId="22D9775D">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Rapportages: Inschrijver verzorgt één keer per jaar een managementrapportage waarbij inzicht wordt verschaft in alle lopende en afgeronde schadegevallen onder vermelding van het referentienummer van de gemeente. Minimaal dienen de navolgende schadegegevens aangeleverd te worden: referentie gemeente, naam claimant, type schade, omschrijving gebeurtenis, schadedatum, reserveringsbedrag, betaling schade, betaling kosten, mogelijkheid regres, status claim.</w:t>
            </w:r>
          </w:p>
          <w:p w:rsidR="4C5B719C" w:rsidP="4C5B719C" w:rsidRDefault="4C5B719C" w14:paraId="27CF27CE" w14:textId="27784E9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Hierbij maakt Inschrijver trends inzichtelijk in de schadegevallen van de gemeente. De eerste rapportage is gereed en beschikbaar in ieder geval uiterlijk 15 maanden na ingang van het contract en daarna elke drie maanden na afloop van ieder verzekeringsjaar en 6 maanden nadien.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A1AC811" w14:textId="3C212083">
            <w:pPr>
              <w:rPr>
                <w:rFonts w:ascii="Calibri" w:hAnsi="Calibri" w:eastAsia="Calibri" w:cs="Calibri"/>
                <w:color w:val="000000" w:themeColor="text1"/>
                <w:sz w:val="21"/>
                <w:szCs w:val="21"/>
              </w:rPr>
            </w:pPr>
          </w:p>
        </w:tc>
      </w:tr>
      <w:tr w:rsidR="4C5B719C" w:rsidTr="4C5B719C" w14:paraId="506ED954"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E782849" w14:textId="4D3A0E79">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de-3</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2035302" w14:textId="4B95BF21">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Minimaal kwartaalrapportage aan Opdrachtgever over lopende zaken, met claimdetail, reserveringen, uitbetalingen, ingehouden eigen risico's, regresdossiers.</w:t>
            </w:r>
          </w:p>
          <w:p w:rsidR="4C5B719C" w:rsidP="4C5B719C" w:rsidRDefault="4C5B719C" w14:paraId="37CCC0AB" w14:textId="1EBDB6A4">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Reserveringen worden reëel vastgesteld en deze worden door inschrijver proactief bijgesteld zodra de (medische) toestand daar aanleiding voor geeft.</w:t>
            </w:r>
          </w:p>
          <w:p w:rsidR="4C5B719C" w:rsidP="4C5B719C" w:rsidRDefault="4C5B719C" w14:paraId="480FF257" w14:textId="635BAEB9">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Loss ratios worden per jaar berekend en gepresenteerd.</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EFED636" w14:textId="6930C124">
            <w:pPr>
              <w:rPr>
                <w:rFonts w:ascii="Calibri" w:hAnsi="Calibri" w:eastAsia="Calibri" w:cs="Calibri"/>
                <w:color w:val="000000" w:themeColor="text1"/>
                <w:sz w:val="21"/>
                <w:szCs w:val="21"/>
              </w:rPr>
            </w:pPr>
          </w:p>
        </w:tc>
      </w:tr>
      <w:tr w:rsidR="4C5B719C" w:rsidTr="4C5B719C" w14:paraId="1B524A97"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366F8F0" w14:textId="55900957">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de-4</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E7F23AD" w14:textId="20DAA3F4">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Digitaal aanmelden, inzien en opvragen van claims: De inschrijver is in staat schademeldingen digitaal te kunnen ontvangen op één centraal digitaal meldpunt of één (functionele) mailbox.</w:t>
            </w:r>
          </w:p>
          <w:p w:rsidR="4C5B719C" w:rsidP="4C5B719C" w:rsidRDefault="4C5B719C" w14:paraId="687E2BC0" w14:textId="1DA47466">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Opdrachtgever moet zelf schades kunnen inzien, schade-overzichten kunnen downloaden en zelf kunnen inzien. Inschrijver zorgt voor een actuele stand van zaken hierbij.</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15741F5" w14:textId="7DB950B5">
            <w:pPr>
              <w:rPr>
                <w:rFonts w:ascii="Calibri" w:hAnsi="Calibri" w:eastAsia="Calibri" w:cs="Calibri"/>
                <w:color w:val="000000" w:themeColor="text1"/>
                <w:sz w:val="21"/>
                <w:szCs w:val="21"/>
              </w:rPr>
            </w:pPr>
          </w:p>
        </w:tc>
      </w:tr>
      <w:tr w:rsidR="4C5B719C" w:rsidTr="4C5B719C" w14:paraId="594DCB27"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48B7294" w14:textId="7BC000FC">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de-5</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FDC428F" w14:textId="6532B178">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Procedure en termijnen</w:t>
            </w:r>
          </w:p>
          <w:p w:rsidR="4C5B719C" w:rsidP="4C5B719C" w:rsidRDefault="4C5B719C" w14:paraId="55A4D74D" w14:textId="67F9934D">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gemeente meldt schades digitaal aan via één centraal meldpunt;</w:t>
            </w:r>
          </w:p>
          <w:p w:rsidR="4C5B719C" w:rsidP="4C5B719C" w:rsidRDefault="4C5B719C" w14:paraId="5678EC1E" w14:textId="5BBD8E91">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verstuurt binnen drie werkdagen een ontvangstbevestiging met vermelding van de naam van de behandelaar;</w:t>
            </w:r>
          </w:p>
          <w:p w:rsidR="4C5B719C" w:rsidP="4C5B719C" w:rsidRDefault="4C5B719C" w14:paraId="216D259C" w14:textId="438FEE9F">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verstuurt binnen vijf werkdagen een ontvangstbevestiging naar de wederpartij;</w:t>
            </w:r>
          </w:p>
          <w:p w:rsidR="4C5B719C" w:rsidP="4C5B719C" w:rsidRDefault="4C5B719C" w14:paraId="3FE3A1AD" w14:textId="053D520E">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stelt de gemeente binnen 10 werkdagen na ontvangst van alle relevante stukken op de hoogte van het juridische oordeel van de claim;</w:t>
            </w:r>
          </w:p>
          <w:p w:rsidR="4C5B719C" w:rsidP="4C5B719C" w:rsidRDefault="4C5B719C" w14:paraId="31258B97" w14:textId="76CC405A">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Indien nodig kan de gemeente rechtstreeks contact opnemen met de betrokken schadebehandelaar;</w:t>
            </w:r>
          </w:p>
          <w:p w:rsidR="4C5B719C" w:rsidP="4C5B719C" w:rsidRDefault="4C5B719C" w14:paraId="59A10C42" w14:textId="150FF74D">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Op verzoek vindt alle correspondentie digitaal plaats.</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8E8042C" w14:textId="68299302">
            <w:pPr>
              <w:rPr>
                <w:rFonts w:ascii="Calibri" w:hAnsi="Calibri" w:eastAsia="Calibri" w:cs="Calibri"/>
                <w:color w:val="000000" w:themeColor="text1"/>
                <w:sz w:val="21"/>
                <w:szCs w:val="21"/>
              </w:rPr>
            </w:pPr>
          </w:p>
        </w:tc>
      </w:tr>
      <w:tr w:rsidR="4C5B719C" w:rsidTr="4C5B719C" w14:paraId="718F719B"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41E0110" w14:textId="08973B19">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de-6</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EC9A852" w14:textId="29C6090F">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Afstemming met gemeente</w:t>
            </w:r>
          </w:p>
          <w:p w:rsidR="4C5B719C" w:rsidP="4C5B719C" w:rsidRDefault="4C5B719C" w14:paraId="54A31CCF" w14:textId="1158E39D">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Het erkennen van aansprakelijkheid, de hoogte van het schadebedrag, gedeeltelijk of geheel schadeloosstellen van de wederpartij, het treffen van een schikking of coulanceregeling, het inschakelen van een advocaat of het starten van een procedure kan uitsluitend plaatsvinden na expliciete afstemming met de Gemeente, deze wordt dus vooraf geïnformeerd;</w:t>
            </w:r>
          </w:p>
          <w:p w:rsidR="4C5B719C" w:rsidP="4C5B719C" w:rsidRDefault="4C5B719C" w14:paraId="732FA730" w14:textId="0592D522">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Gemeente ontvangt per ommegaande een kopie van een afwijzing;</w:t>
            </w:r>
          </w:p>
          <w:p w:rsidR="4C5B719C" w:rsidP="4C5B719C" w:rsidRDefault="4C5B719C" w14:paraId="57A8DF32" w14:textId="73CC0AE7">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ziet toe op een snelle en correcte voortgang van het schade afhandelingsproces;</w:t>
            </w:r>
          </w:p>
          <w:p w:rsidR="4C5B719C" w:rsidP="4C5B719C" w:rsidRDefault="4C5B719C" w14:paraId="187C80AF" w14:textId="5E297AC3">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Tijdens de schadebehandeling houdt de inschrijver de Gemeente met regelmaat op de hoogte van de voortgang in het dossier. In elk geval stuurt de inschrijver eens per twee maanden de laatste stand van zaken aan de Gemeente toe. Bij langlopende dossiers kan in overleg met de Gemeente deze termijn worden aangepast.</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D777A52" w14:textId="25D03457">
            <w:pPr>
              <w:rPr>
                <w:rFonts w:ascii="Calibri" w:hAnsi="Calibri" w:eastAsia="Calibri" w:cs="Calibri"/>
                <w:color w:val="000000" w:themeColor="text1"/>
                <w:sz w:val="21"/>
                <w:szCs w:val="21"/>
              </w:rPr>
            </w:pPr>
          </w:p>
        </w:tc>
      </w:tr>
      <w:tr w:rsidR="4C5B719C" w:rsidTr="4C5B719C" w14:paraId="2381B6B5"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F23904A" w14:textId="770D54E3">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de-7</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55D5288A" w14:textId="1683EC1D">
            <w:pPr>
              <w:spacing w:after="12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Claimhandling:</w:t>
            </w:r>
          </w:p>
          <w:p w:rsidR="4C5B719C" w:rsidP="4C5B719C" w:rsidRDefault="4C5B719C" w14:paraId="04E02840" w14:textId="48FCF561">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legt een dossier aan van alle ontvangen stukken en correspondentie. De inschrijver vraagt alle relevante stukken op, zoals getuigenverklaring, aansprakelijkstellingen, situatieschets, kopieën van contracten etc.</w:t>
            </w:r>
          </w:p>
          <w:p w:rsidR="4C5B719C" w:rsidP="4C5B719C" w:rsidRDefault="4C5B719C" w14:paraId="08215FC9" w14:textId="72019ED8">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Indien noodzakelijk en na overleg met de gemeente, schakelt de inschrijver een expert in voor een toedrachtsonderzoek. De inschrijver bekijkt aan de hand van de verkregen informatie welk type expert ingeschakeld moet worden, op basis van vereiste deskundigheid en de inschrijver ziet toe op kwalitatief goede en snelle rapportage van de expert.</w:t>
            </w:r>
          </w:p>
          <w:p w:rsidR="4C5B719C" w:rsidP="4C5B719C" w:rsidRDefault="4C5B719C" w14:paraId="20E6F841" w14:textId="0D048514">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kan de expert tevens verzoeken om voor de schadevaststelling te zorgen; indien nodig en na overleg met de gemeente.</w:t>
            </w:r>
          </w:p>
          <w:p w:rsidR="4C5B719C" w:rsidP="4C5B719C" w:rsidRDefault="4C5B719C" w14:paraId="3196DF69" w14:textId="74E04862">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zal de gemeente adviseren indien inschrijver het inwinnen van extern deskundig advies noodzakelijk acht.</w:t>
            </w:r>
          </w:p>
          <w:p w:rsidR="4C5B719C" w:rsidP="4C5B719C" w:rsidRDefault="4C5B719C" w14:paraId="590B351D" w14:textId="2964ADA8">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draagt zorg voor adequate communicatie en overleg met alle betrokken partijen.</w:t>
            </w:r>
          </w:p>
          <w:p w:rsidR="4C5B719C" w:rsidP="4C5B719C" w:rsidRDefault="4C5B719C" w14:paraId="0ACEA6B4" w14:textId="69D817B4">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inschrijver adviseert de gemeente over de te volgen strategie bij afwikkeling van de claim.</w:t>
            </w:r>
          </w:p>
          <w:p w:rsidR="4C5B719C" w:rsidP="4C5B719C" w:rsidRDefault="4C5B719C" w14:paraId="3627F9A7" w14:textId="05FC4DB5">
            <w:pPr>
              <w:pStyle w:val="Lijstalinea"/>
              <w:numPr>
                <w:ilvl w:val="0"/>
                <w:numId w:val="1"/>
              </w:numPr>
              <w:spacing w:after="60"/>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 vast toegewezen schadebehandelaar(s) (of vaste vakspecialisten uit gespecialiseerde teams) voor de gemeente is op de hoogte van de actuele ontwikkelingen in het aansprakelijkheidsrecht en heeft een relevante studie Nederlands recht met succes afgerond of dat zijn personen die hetzelfde denk- en werkniveau hebben bereikt door opleiding en/of ervaring. De inschrijver levert op verzoek geanonimiseerde cv's.</w:t>
            </w:r>
          </w:p>
          <w:p w:rsidR="4C5B719C" w:rsidP="4C5B719C" w:rsidRDefault="4C5B719C" w14:paraId="325983AA" w14:textId="2C1BD7AE">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Opdrachtnemer gaat akkoord met onderstaande wijze: De Opdrachtnemer zal alle schaden waarvan duidelijk is dat deze boven het eigen risico uitkomen en/of waarin sprake is van letsel, zo spoedig mogelijk afwikkelen.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053CADC" w14:textId="348DD48B">
            <w:pPr>
              <w:rPr>
                <w:rFonts w:ascii="Calibri" w:hAnsi="Calibri" w:eastAsia="Calibri" w:cs="Calibri"/>
                <w:color w:val="000000" w:themeColor="text1"/>
                <w:sz w:val="21"/>
                <w:szCs w:val="21"/>
              </w:rPr>
            </w:pPr>
          </w:p>
        </w:tc>
      </w:tr>
      <w:tr w:rsidR="4C5B719C" w:rsidTr="4C5B719C" w14:paraId="64150A6A"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334800C" w14:textId="03F5E844">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de-8</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0D48D704" w14:textId="0D5B45A5">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Geschil: Wanneer een verschil van mening bestaat tussen de gemeente en Inschrijver over het al dan niet erkennen van aansprakelijkheid voor een schade en/of de hoogte van het schadebedrag, voeren partijen eerst overleg over het geschil. In geval van blijvend verschil van mening kunnen partijen dit geschilpunt voorleggen aan een gezamenlijk te benoemen bindend adviseur. De kosten van deze adviseur zijn voor de inschrijver.</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34A7075" w14:textId="3EFE2E7D">
            <w:pPr>
              <w:rPr>
                <w:rFonts w:ascii="Calibri" w:hAnsi="Calibri" w:eastAsia="Calibri" w:cs="Calibri"/>
                <w:color w:val="000000" w:themeColor="text1"/>
                <w:sz w:val="21"/>
                <w:szCs w:val="21"/>
              </w:rPr>
            </w:pPr>
          </w:p>
        </w:tc>
      </w:tr>
      <w:tr w:rsidR="4C5B719C" w:rsidTr="4C5B719C" w14:paraId="2E4D7316"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1D64BCA0" w14:textId="29A4BDD5">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de-9</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B4396A2" w14:textId="4C83C562">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4 schades onder het eigen risico afwikkelen per jaar. Vanzelfsprekend worden alle schades vanaf het eigen risico behandeld door de makelaar/verzekeraar. De premie en de fee ziet op het afwikkelen van 4 schades (vermogen/zaak/letsel) per jaar onder het eigen risico.</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75F8853D" w14:textId="7573B28C">
            <w:pPr>
              <w:rPr>
                <w:rFonts w:ascii="Calibri" w:hAnsi="Calibri" w:eastAsia="Calibri" w:cs="Calibri"/>
                <w:color w:val="000000" w:themeColor="text1"/>
                <w:sz w:val="21"/>
                <w:szCs w:val="21"/>
              </w:rPr>
            </w:pPr>
          </w:p>
        </w:tc>
      </w:tr>
      <w:tr w:rsidR="4C5B719C" w:rsidTr="4C5B719C" w14:paraId="1D3DFCB8" w14:textId="77777777">
        <w:trPr>
          <w:trHeight w:val="300"/>
        </w:trPr>
        <w:tc>
          <w:tcPr>
            <w:tcW w:w="735"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451065B2" w14:textId="4623E499">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de-10</w:t>
            </w:r>
          </w:p>
        </w:tc>
        <w:tc>
          <w:tcPr>
            <w:tcW w:w="798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38305C46" w14:textId="60D58064">
            <w:pPr>
              <w:rPr>
                <w:rFonts w:ascii="Calibri" w:hAnsi="Calibri" w:eastAsia="Calibri" w:cs="Calibri"/>
                <w:color w:val="000000" w:themeColor="text1"/>
                <w:sz w:val="21"/>
                <w:szCs w:val="21"/>
              </w:rPr>
            </w:pPr>
            <w:r w:rsidRPr="4C5B719C">
              <w:rPr>
                <w:rFonts w:ascii="Calibri" w:hAnsi="Calibri" w:eastAsia="Calibri" w:cs="Calibri"/>
                <w:color w:val="000000" w:themeColor="text1"/>
                <w:sz w:val="21"/>
                <w:szCs w:val="21"/>
              </w:rPr>
              <w:t>Accountmanagement: Op verzoek wordt er 1 tot 2 maal per jaar een onderhoudsgesprek gehouden ten kantore van Opdrachtgever. Inschrijver geeft hier gehoor aan. Vanzelfsprekend wordt hier vooraf een agenda gemaakt (een week voorafgaand aan het bezoek) en worden de actueel bijgewerkte schadecijfers toegezonden in de vorm van een management rapportage. Opvallende trends en ontwikkelingen worden hierin benoemd. Ook zullen ontwikkelingen in het recht, ontwikkelingen in de verzekeringsmarkt, ontwikkelingen in producten en dekkingen worden besproken.</w:t>
            </w:r>
          </w:p>
        </w:tc>
        <w:tc>
          <w:tcPr>
            <w:tcW w:w="900" w:type="dxa"/>
            <w:tcBorders>
              <w:top w:val="single" w:color="999999" w:sz="6" w:space="0"/>
              <w:left w:val="single" w:color="999999" w:sz="6" w:space="0"/>
              <w:bottom w:val="single" w:color="999999" w:sz="6" w:space="0"/>
              <w:right w:val="single" w:color="999999" w:sz="6" w:space="0"/>
            </w:tcBorders>
            <w:tcMar>
              <w:top w:w="75" w:type="dxa"/>
              <w:left w:w="90" w:type="dxa"/>
              <w:bottom w:w="75" w:type="dxa"/>
              <w:right w:w="90" w:type="dxa"/>
            </w:tcMar>
          </w:tcPr>
          <w:p w:rsidR="4C5B719C" w:rsidP="4C5B719C" w:rsidRDefault="4C5B719C" w14:paraId="2F96641C" w14:textId="3757A747">
            <w:pPr>
              <w:rPr>
                <w:rFonts w:ascii="Calibri" w:hAnsi="Calibri" w:eastAsia="Calibri" w:cs="Calibri"/>
                <w:color w:val="000000" w:themeColor="text1"/>
                <w:sz w:val="21"/>
                <w:szCs w:val="21"/>
              </w:rPr>
            </w:pPr>
          </w:p>
        </w:tc>
      </w:tr>
    </w:tbl>
    <w:p w:rsidR="4C5B719C" w:rsidP="4C5B719C" w:rsidRDefault="4C5B719C" w14:paraId="079A804A" w14:textId="76838BCF"/>
    <w:sectPr w:rsidR="4C5B719C">
      <w:head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5B33" w:rsidP="007F48C7" w:rsidRDefault="00455B33" w14:paraId="1A6379EB" w14:textId="77777777">
      <w:pPr>
        <w:spacing w:line="240" w:lineRule="auto"/>
      </w:pPr>
      <w:r>
        <w:separator/>
      </w:r>
    </w:p>
  </w:endnote>
  <w:endnote w:type="continuationSeparator" w:id="0">
    <w:p w:rsidR="00455B33" w:rsidP="007F48C7" w:rsidRDefault="00455B33" w14:paraId="071C80E1"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5B33" w:rsidP="007F48C7" w:rsidRDefault="00455B33" w14:paraId="7F4F8FE3" w14:textId="77777777">
      <w:pPr>
        <w:spacing w:line="240" w:lineRule="auto"/>
      </w:pPr>
      <w:r>
        <w:separator/>
      </w:r>
    </w:p>
  </w:footnote>
  <w:footnote w:type="continuationSeparator" w:id="0">
    <w:p w:rsidR="00455B33" w:rsidP="007F48C7" w:rsidRDefault="00455B33" w14:paraId="593368FD"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85043" w:rsidRDefault="00985043" w14:paraId="0534DC56" w14:textId="6CFF7D5E">
    <w:pPr>
      <w:pStyle w:val="Koptekst"/>
    </w:pPr>
    <w:r>
      <w:rPr>
        <w:noProof/>
      </w:rPr>
      <w:drawing>
        <wp:inline distT="0" distB="0" distL="0" distR="0" wp14:anchorId="20797743" wp14:editId="6EE0FF68">
          <wp:extent cx="1033274" cy="259081"/>
          <wp:effectExtent l="0" t="0" r="0" b="762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Zuidpl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3274" cy="2590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13A"/>
    <w:multiLevelType w:val="hybridMultilevel"/>
    <w:tmpl w:val="035E6D4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0B4B2C"/>
    <w:multiLevelType w:val="multilevel"/>
    <w:tmpl w:val="876805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Light" w:hAnsi="Calibri Light" w:eastAsia="Times New Roman" w:cs="Calibri Ligh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3DC568"/>
    <w:multiLevelType w:val="hybridMultilevel"/>
    <w:tmpl w:val="FFFFFFFF"/>
    <w:lvl w:ilvl="0" w:tplc="656A01FA">
      <w:start w:val="1"/>
      <w:numFmt w:val="bullet"/>
      <w:lvlText w:val="•"/>
      <w:lvlJc w:val="left"/>
      <w:pPr>
        <w:ind w:left="360" w:hanging="288"/>
      </w:pPr>
      <w:rPr>
        <w:rFonts w:hint="default" w:ascii="Symbol" w:hAnsi="Symbol"/>
      </w:rPr>
    </w:lvl>
    <w:lvl w:ilvl="1" w:tplc="4C5E39B6">
      <w:start w:val="1"/>
      <w:numFmt w:val="bullet"/>
      <w:lvlText w:val="o"/>
      <w:lvlJc w:val="left"/>
      <w:pPr>
        <w:ind w:left="1440" w:hanging="360"/>
      </w:pPr>
      <w:rPr>
        <w:rFonts w:hint="default" w:ascii="Courier New" w:hAnsi="Courier New"/>
      </w:rPr>
    </w:lvl>
    <w:lvl w:ilvl="2" w:tplc="6FC09F3E">
      <w:start w:val="1"/>
      <w:numFmt w:val="bullet"/>
      <w:lvlText w:val=""/>
      <w:lvlJc w:val="left"/>
      <w:pPr>
        <w:ind w:left="2160" w:hanging="360"/>
      </w:pPr>
      <w:rPr>
        <w:rFonts w:hint="default" w:ascii="Wingdings" w:hAnsi="Wingdings"/>
      </w:rPr>
    </w:lvl>
    <w:lvl w:ilvl="3" w:tplc="739A3F6A">
      <w:start w:val="1"/>
      <w:numFmt w:val="bullet"/>
      <w:lvlText w:val=""/>
      <w:lvlJc w:val="left"/>
      <w:pPr>
        <w:ind w:left="2880" w:hanging="360"/>
      </w:pPr>
      <w:rPr>
        <w:rFonts w:hint="default" w:ascii="Symbol" w:hAnsi="Symbol"/>
      </w:rPr>
    </w:lvl>
    <w:lvl w:ilvl="4" w:tplc="2A38F216">
      <w:start w:val="1"/>
      <w:numFmt w:val="bullet"/>
      <w:lvlText w:val="o"/>
      <w:lvlJc w:val="left"/>
      <w:pPr>
        <w:ind w:left="3600" w:hanging="360"/>
      </w:pPr>
      <w:rPr>
        <w:rFonts w:hint="default" w:ascii="Courier New" w:hAnsi="Courier New"/>
      </w:rPr>
    </w:lvl>
    <w:lvl w:ilvl="5" w:tplc="B5F63012">
      <w:start w:val="1"/>
      <w:numFmt w:val="bullet"/>
      <w:lvlText w:val=""/>
      <w:lvlJc w:val="left"/>
      <w:pPr>
        <w:ind w:left="4320" w:hanging="360"/>
      </w:pPr>
      <w:rPr>
        <w:rFonts w:hint="default" w:ascii="Wingdings" w:hAnsi="Wingdings"/>
      </w:rPr>
    </w:lvl>
    <w:lvl w:ilvl="6" w:tplc="B0345866">
      <w:start w:val="1"/>
      <w:numFmt w:val="bullet"/>
      <w:lvlText w:val=""/>
      <w:lvlJc w:val="left"/>
      <w:pPr>
        <w:ind w:left="5040" w:hanging="360"/>
      </w:pPr>
      <w:rPr>
        <w:rFonts w:hint="default" w:ascii="Symbol" w:hAnsi="Symbol"/>
      </w:rPr>
    </w:lvl>
    <w:lvl w:ilvl="7" w:tplc="C08092FC">
      <w:start w:val="1"/>
      <w:numFmt w:val="bullet"/>
      <w:lvlText w:val="o"/>
      <w:lvlJc w:val="left"/>
      <w:pPr>
        <w:ind w:left="5760" w:hanging="360"/>
      </w:pPr>
      <w:rPr>
        <w:rFonts w:hint="default" w:ascii="Courier New" w:hAnsi="Courier New"/>
      </w:rPr>
    </w:lvl>
    <w:lvl w:ilvl="8" w:tplc="45AC5D5A">
      <w:start w:val="1"/>
      <w:numFmt w:val="bullet"/>
      <w:lvlText w:val=""/>
      <w:lvlJc w:val="left"/>
      <w:pPr>
        <w:ind w:left="6480" w:hanging="360"/>
      </w:pPr>
      <w:rPr>
        <w:rFonts w:hint="default" w:ascii="Wingdings" w:hAnsi="Wingdings"/>
      </w:rPr>
    </w:lvl>
  </w:abstractNum>
  <w:abstractNum w:abstractNumId="3" w15:restartNumberingAfterBreak="0">
    <w:nsid w:val="18577F72"/>
    <w:multiLevelType w:val="hybridMultilevel"/>
    <w:tmpl w:val="32BA5F6C"/>
    <w:lvl w:ilvl="0" w:tplc="FB8E427E">
      <w:start w:val="2"/>
      <w:numFmt w:val="upperLetter"/>
      <w:lvlText w:val="Standaardformulier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817133"/>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1D86CB90"/>
    <w:multiLevelType w:val="hybridMultilevel"/>
    <w:tmpl w:val="FFFFFFFF"/>
    <w:lvl w:ilvl="0" w:tplc="62E4445A">
      <w:start w:val="1"/>
      <w:numFmt w:val="bullet"/>
      <w:lvlText w:val="•"/>
      <w:lvlJc w:val="left"/>
      <w:pPr>
        <w:ind w:left="360" w:hanging="288"/>
      </w:pPr>
      <w:rPr>
        <w:rFonts w:hint="default" w:ascii="Symbol" w:hAnsi="Symbol"/>
      </w:rPr>
    </w:lvl>
    <w:lvl w:ilvl="1" w:tplc="AAD8C41E">
      <w:start w:val="1"/>
      <w:numFmt w:val="bullet"/>
      <w:lvlText w:val="o"/>
      <w:lvlJc w:val="left"/>
      <w:pPr>
        <w:ind w:left="1440" w:hanging="360"/>
      </w:pPr>
      <w:rPr>
        <w:rFonts w:hint="default" w:ascii="Courier New" w:hAnsi="Courier New"/>
      </w:rPr>
    </w:lvl>
    <w:lvl w:ilvl="2" w:tplc="64128498">
      <w:start w:val="1"/>
      <w:numFmt w:val="bullet"/>
      <w:lvlText w:val=""/>
      <w:lvlJc w:val="left"/>
      <w:pPr>
        <w:ind w:left="2160" w:hanging="360"/>
      </w:pPr>
      <w:rPr>
        <w:rFonts w:hint="default" w:ascii="Wingdings" w:hAnsi="Wingdings"/>
      </w:rPr>
    </w:lvl>
    <w:lvl w:ilvl="3" w:tplc="3F2E5972">
      <w:start w:val="1"/>
      <w:numFmt w:val="bullet"/>
      <w:lvlText w:val=""/>
      <w:lvlJc w:val="left"/>
      <w:pPr>
        <w:ind w:left="2880" w:hanging="360"/>
      </w:pPr>
      <w:rPr>
        <w:rFonts w:hint="default" w:ascii="Symbol" w:hAnsi="Symbol"/>
      </w:rPr>
    </w:lvl>
    <w:lvl w:ilvl="4" w:tplc="D2EC6660">
      <w:start w:val="1"/>
      <w:numFmt w:val="bullet"/>
      <w:lvlText w:val="o"/>
      <w:lvlJc w:val="left"/>
      <w:pPr>
        <w:ind w:left="3600" w:hanging="360"/>
      </w:pPr>
      <w:rPr>
        <w:rFonts w:hint="default" w:ascii="Courier New" w:hAnsi="Courier New"/>
      </w:rPr>
    </w:lvl>
    <w:lvl w:ilvl="5" w:tplc="D0BEC1C6">
      <w:start w:val="1"/>
      <w:numFmt w:val="bullet"/>
      <w:lvlText w:val=""/>
      <w:lvlJc w:val="left"/>
      <w:pPr>
        <w:ind w:left="4320" w:hanging="360"/>
      </w:pPr>
      <w:rPr>
        <w:rFonts w:hint="default" w:ascii="Wingdings" w:hAnsi="Wingdings"/>
      </w:rPr>
    </w:lvl>
    <w:lvl w:ilvl="6" w:tplc="68BC4A42">
      <w:start w:val="1"/>
      <w:numFmt w:val="bullet"/>
      <w:lvlText w:val=""/>
      <w:lvlJc w:val="left"/>
      <w:pPr>
        <w:ind w:left="5040" w:hanging="360"/>
      </w:pPr>
      <w:rPr>
        <w:rFonts w:hint="default" w:ascii="Symbol" w:hAnsi="Symbol"/>
      </w:rPr>
    </w:lvl>
    <w:lvl w:ilvl="7" w:tplc="39CC9940">
      <w:start w:val="1"/>
      <w:numFmt w:val="bullet"/>
      <w:lvlText w:val="o"/>
      <w:lvlJc w:val="left"/>
      <w:pPr>
        <w:ind w:left="5760" w:hanging="360"/>
      </w:pPr>
      <w:rPr>
        <w:rFonts w:hint="default" w:ascii="Courier New" w:hAnsi="Courier New"/>
      </w:rPr>
    </w:lvl>
    <w:lvl w:ilvl="8" w:tplc="AE9C0A28">
      <w:start w:val="1"/>
      <w:numFmt w:val="bullet"/>
      <w:lvlText w:val=""/>
      <w:lvlJc w:val="left"/>
      <w:pPr>
        <w:ind w:left="6480" w:hanging="360"/>
      </w:pPr>
      <w:rPr>
        <w:rFonts w:hint="default" w:ascii="Wingdings" w:hAnsi="Wingdings"/>
      </w:rPr>
    </w:lvl>
  </w:abstractNum>
  <w:abstractNum w:abstractNumId="6" w15:restartNumberingAfterBreak="0">
    <w:nsid w:val="39233201"/>
    <w:multiLevelType w:val="hybridMultilevel"/>
    <w:tmpl w:val="36D88C3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625B1331"/>
    <w:multiLevelType w:val="hybridMultilevel"/>
    <w:tmpl w:val="71DA1B3E"/>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 w15:restartNumberingAfterBreak="0">
    <w:nsid w:val="63266E84"/>
    <w:multiLevelType w:val="hybridMultilevel"/>
    <w:tmpl w:val="7066629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5EE2F10"/>
    <w:multiLevelType w:val="hybridMultilevel"/>
    <w:tmpl w:val="83D4BCD4"/>
    <w:lvl w:ilvl="0" w:tplc="04130001">
      <w:start w:val="1"/>
      <w:numFmt w:val="bullet"/>
      <w:lvlText w:val=""/>
      <w:lvlJc w:val="left"/>
      <w:pPr>
        <w:tabs>
          <w:tab w:val="num" w:pos="284"/>
        </w:tabs>
        <w:ind w:left="284" w:hanging="284"/>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75C54975"/>
    <w:multiLevelType w:val="hybridMultilevel"/>
    <w:tmpl w:val="FFFFFFFF"/>
    <w:lvl w:ilvl="0" w:tplc="6840DB7C">
      <w:start w:val="1"/>
      <w:numFmt w:val="bullet"/>
      <w:lvlText w:val="•"/>
      <w:lvlJc w:val="left"/>
      <w:pPr>
        <w:ind w:left="360" w:hanging="288"/>
      </w:pPr>
      <w:rPr>
        <w:rFonts w:hint="default" w:ascii="Symbol" w:hAnsi="Symbol"/>
      </w:rPr>
    </w:lvl>
    <w:lvl w:ilvl="1" w:tplc="DB40CB7A">
      <w:start w:val="1"/>
      <w:numFmt w:val="bullet"/>
      <w:lvlText w:val="o"/>
      <w:lvlJc w:val="left"/>
      <w:pPr>
        <w:ind w:left="1440" w:hanging="360"/>
      </w:pPr>
      <w:rPr>
        <w:rFonts w:hint="default" w:ascii="Courier New" w:hAnsi="Courier New"/>
      </w:rPr>
    </w:lvl>
    <w:lvl w:ilvl="2" w:tplc="BD38C464">
      <w:start w:val="1"/>
      <w:numFmt w:val="bullet"/>
      <w:lvlText w:val=""/>
      <w:lvlJc w:val="left"/>
      <w:pPr>
        <w:ind w:left="2160" w:hanging="360"/>
      </w:pPr>
      <w:rPr>
        <w:rFonts w:hint="default" w:ascii="Wingdings" w:hAnsi="Wingdings"/>
      </w:rPr>
    </w:lvl>
    <w:lvl w:ilvl="3" w:tplc="A9FE04C4">
      <w:start w:val="1"/>
      <w:numFmt w:val="bullet"/>
      <w:lvlText w:val=""/>
      <w:lvlJc w:val="left"/>
      <w:pPr>
        <w:ind w:left="2880" w:hanging="360"/>
      </w:pPr>
      <w:rPr>
        <w:rFonts w:hint="default" w:ascii="Symbol" w:hAnsi="Symbol"/>
      </w:rPr>
    </w:lvl>
    <w:lvl w:ilvl="4" w:tplc="51C2DD6E">
      <w:start w:val="1"/>
      <w:numFmt w:val="bullet"/>
      <w:lvlText w:val="o"/>
      <w:lvlJc w:val="left"/>
      <w:pPr>
        <w:ind w:left="3600" w:hanging="360"/>
      </w:pPr>
      <w:rPr>
        <w:rFonts w:hint="default" w:ascii="Courier New" w:hAnsi="Courier New"/>
      </w:rPr>
    </w:lvl>
    <w:lvl w:ilvl="5" w:tplc="61883224">
      <w:start w:val="1"/>
      <w:numFmt w:val="bullet"/>
      <w:lvlText w:val=""/>
      <w:lvlJc w:val="left"/>
      <w:pPr>
        <w:ind w:left="4320" w:hanging="360"/>
      </w:pPr>
      <w:rPr>
        <w:rFonts w:hint="default" w:ascii="Wingdings" w:hAnsi="Wingdings"/>
      </w:rPr>
    </w:lvl>
    <w:lvl w:ilvl="6" w:tplc="D696C824">
      <w:start w:val="1"/>
      <w:numFmt w:val="bullet"/>
      <w:lvlText w:val=""/>
      <w:lvlJc w:val="left"/>
      <w:pPr>
        <w:ind w:left="5040" w:hanging="360"/>
      </w:pPr>
      <w:rPr>
        <w:rFonts w:hint="default" w:ascii="Symbol" w:hAnsi="Symbol"/>
      </w:rPr>
    </w:lvl>
    <w:lvl w:ilvl="7" w:tplc="C60AF520">
      <w:start w:val="1"/>
      <w:numFmt w:val="bullet"/>
      <w:lvlText w:val="o"/>
      <w:lvlJc w:val="left"/>
      <w:pPr>
        <w:ind w:left="5760" w:hanging="360"/>
      </w:pPr>
      <w:rPr>
        <w:rFonts w:hint="default" w:ascii="Courier New" w:hAnsi="Courier New"/>
      </w:rPr>
    </w:lvl>
    <w:lvl w:ilvl="8" w:tplc="7E424304">
      <w:start w:val="1"/>
      <w:numFmt w:val="bullet"/>
      <w:lvlText w:val=""/>
      <w:lvlJc w:val="left"/>
      <w:pPr>
        <w:ind w:left="6480" w:hanging="360"/>
      </w:pPr>
      <w:rPr>
        <w:rFonts w:hint="default" w:ascii="Wingdings" w:hAnsi="Wingdings"/>
      </w:rPr>
    </w:lvl>
  </w:abstractNum>
  <w:abstractNum w:abstractNumId="11" w15:restartNumberingAfterBreak="0">
    <w:nsid w:val="7706B8D3"/>
    <w:multiLevelType w:val="hybridMultilevel"/>
    <w:tmpl w:val="FFFFFFFF"/>
    <w:lvl w:ilvl="0" w:tplc="4080E64C">
      <w:start w:val="1"/>
      <w:numFmt w:val="bullet"/>
      <w:lvlText w:val="•"/>
      <w:lvlJc w:val="left"/>
      <w:pPr>
        <w:ind w:left="360" w:hanging="288"/>
      </w:pPr>
      <w:rPr>
        <w:rFonts w:hint="default" w:ascii="Symbol" w:hAnsi="Symbol"/>
      </w:rPr>
    </w:lvl>
    <w:lvl w:ilvl="1" w:tplc="AAF2B050">
      <w:start w:val="1"/>
      <w:numFmt w:val="bullet"/>
      <w:lvlText w:val="o"/>
      <w:lvlJc w:val="left"/>
      <w:pPr>
        <w:ind w:left="1440" w:hanging="360"/>
      </w:pPr>
      <w:rPr>
        <w:rFonts w:hint="default" w:ascii="Courier New" w:hAnsi="Courier New"/>
      </w:rPr>
    </w:lvl>
    <w:lvl w:ilvl="2" w:tplc="77BAA0C8">
      <w:start w:val="1"/>
      <w:numFmt w:val="bullet"/>
      <w:lvlText w:val=""/>
      <w:lvlJc w:val="left"/>
      <w:pPr>
        <w:ind w:left="2160" w:hanging="360"/>
      </w:pPr>
      <w:rPr>
        <w:rFonts w:hint="default" w:ascii="Wingdings" w:hAnsi="Wingdings"/>
      </w:rPr>
    </w:lvl>
    <w:lvl w:ilvl="3" w:tplc="893EA102">
      <w:start w:val="1"/>
      <w:numFmt w:val="bullet"/>
      <w:lvlText w:val=""/>
      <w:lvlJc w:val="left"/>
      <w:pPr>
        <w:ind w:left="2880" w:hanging="360"/>
      </w:pPr>
      <w:rPr>
        <w:rFonts w:hint="default" w:ascii="Symbol" w:hAnsi="Symbol"/>
      </w:rPr>
    </w:lvl>
    <w:lvl w:ilvl="4" w:tplc="30406808">
      <w:start w:val="1"/>
      <w:numFmt w:val="bullet"/>
      <w:lvlText w:val="o"/>
      <w:lvlJc w:val="left"/>
      <w:pPr>
        <w:ind w:left="3600" w:hanging="360"/>
      </w:pPr>
      <w:rPr>
        <w:rFonts w:hint="default" w:ascii="Courier New" w:hAnsi="Courier New"/>
      </w:rPr>
    </w:lvl>
    <w:lvl w:ilvl="5" w:tplc="5BDEEC6C">
      <w:start w:val="1"/>
      <w:numFmt w:val="bullet"/>
      <w:lvlText w:val=""/>
      <w:lvlJc w:val="left"/>
      <w:pPr>
        <w:ind w:left="4320" w:hanging="360"/>
      </w:pPr>
      <w:rPr>
        <w:rFonts w:hint="default" w:ascii="Wingdings" w:hAnsi="Wingdings"/>
      </w:rPr>
    </w:lvl>
    <w:lvl w:ilvl="6" w:tplc="6AD03B0C">
      <w:start w:val="1"/>
      <w:numFmt w:val="bullet"/>
      <w:lvlText w:val=""/>
      <w:lvlJc w:val="left"/>
      <w:pPr>
        <w:ind w:left="5040" w:hanging="360"/>
      </w:pPr>
      <w:rPr>
        <w:rFonts w:hint="default" w:ascii="Symbol" w:hAnsi="Symbol"/>
      </w:rPr>
    </w:lvl>
    <w:lvl w:ilvl="7" w:tplc="ADD08730">
      <w:start w:val="1"/>
      <w:numFmt w:val="bullet"/>
      <w:lvlText w:val="o"/>
      <w:lvlJc w:val="left"/>
      <w:pPr>
        <w:ind w:left="5760" w:hanging="360"/>
      </w:pPr>
      <w:rPr>
        <w:rFonts w:hint="default" w:ascii="Courier New" w:hAnsi="Courier New"/>
      </w:rPr>
    </w:lvl>
    <w:lvl w:ilvl="8" w:tplc="CECAAABC">
      <w:start w:val="1"/>
      <w:numFmt w:val="bullet"/>
      <w:lvlText w:val=""/>
      <w:lvlJc w:val="left"/>
      <w:pPr>
        <w:ind w:left="6480" w:hanging="360"/>
      </w:pPr>
      <w:rPr>
        <w:rFonts w:hint="default" w:ascii="Wingdings" w:hAnsi="Wingdings"/>
      </w:rPr>
    </w:lvl>
  </w:abstractNum>
  <w:abstractNum w:abstractNumId="12" w15:restartNumberingAfterBreak="0">
    <w:nsid w:val="77E31548"/>
    <w:multiLevelType w:val="multilevel"/>
    <w:tmpl w:val="7EC27702"/>
    <w:lvl w:ilvl="0">
      <w:start w:val="1"/>
      <w:numFmt w:val="decimal"/>
      <w:pStyle w:val="Kop1"/>
      <w:lvlText w:val="%1."/>
      <w:lvlJc w:val="left"/>
      <w:pPr>
        <w:ind w:left="360" w:hanging="360"/>
      </w:pPr>
      <w:rPr>
        <w:sz w:val="24"/>
        <w:szCs w:val="24"/>
      </w:rPr>
    </w:lvl>
    <w:lvl w:ilvl="1">
      <w:start w:val="1"/>
      <w:numFmt w:val="decimal"/>
      <w:pStyle w:val="Kop2"/>
      <w:isLgl/>
      <w:lvlText w:val="%1.%2"/>
      <w:lvlJc w:val="left"/>
      <w:pPr>
        <w:ind w:left="720" w:hanging="720"/>
      </w:pPr>
      <w:rPr>
        <w:rFonts w:hint="default"/>
        <w:i w:val="0"/>
      </w:rPr>
    </w:lvl>
    <w:lvl w:ilvl="2">
      <w:start w:val="1"/>
      <w:numFmt w:val="decimal"/>
      <w:isLgl/>
      <w:lvlText w:val="%1.%2.%3"/>
      <w:lvlJc w:val="left"/>
      <w:pPr>
        <w:ind w:left="1080" w:hanging="1080"/>
      </w:pPr>
      <w:rPr>
        <w:rFonts w:hint="default"/>
        <w:i/>
        <w:color w:val="auto"/>
        <w:sz w:val="20"/>
        <w:szCs w:val="2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abstractNum w:abstractNumId="13" w15:restartNumberingAfterBreak="0">
    <w:nsid w:val="7EA42184"/>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num w:numId="1" w16cid:durableId="1140269539">
    <w:abstractNumId w:val="5"/>
  </w:num>
  <w:num w:numId="2" w16cid:durableId="2006123522">
    <w:abstractNumId w:val="11"/>
  </w:num>
  <w:num w:numId="3" w16cid:durableId="899560868">
    <w:abstractNumId w:val="10"/>
  </w:num>
  <w:num w:numId="4" w16cid:durableId="1142499290">
    <w:abstractNumId w:val="2"/>
  </w:num>
  <w:num w:numId="5" w16cid:durableId="2076783390">
    <w:abstractNumId w:val="12"/>
  </w:num>
  <w:num w:numId="6" w16cid:durableId="1984651410">
    <w:abstractNumId w:val="3"/>
  </w:num>
  <w:num w:numId="7" w16cid:durableId="1719892214">
    <w:abstractNumId w:val="9"/>
  </w:num>
  <w:num w:numId="8" w16cid:durableId="2077773661">
    <w:abstractNumId w:val="7"/>
  </w:num>
  <w:num w:numId="9" w16cid:durableId="1833259194">
    <w:abstractNumId w:val="13"/>
  </w:num>
  <w:num w:numId="10" w16cid:durableId="540285181">
    <w:abstractNumId w:val="4"/>
  </w:num>
  <w:num w:numId="11" w16cid:durableId="107773352">
    <w:abstractNumId w:val="6"/>
  </w:num>
  <w:num w:numId="12" w16cid:durableId="7281867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4337961">
    <w:abstractNumId w:val="8"/>
  </w:num>
  <w:num w:numId="14" w16cid:durableId="1842235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8C7"/>
    <w:rsid w:val="00034F31"/>
    <w:rsid w:val="00035607"/>
    <w:rsid w:val="0011270D"/>
    <w:rsid w:val="00137C82"/>
    <w:rsid w:val="0015142E"/>
    <w:rsid w:val="001732AE"/>
    <w:rsid w:val="00190AEF"/>
    <w:rsid w:val="00237C17"/>
    <w:rsid w:val="002A5E42"/>
    <w:rsid w:val="00397577"/>
    <w:rsid w:val="00455B33"/>
    <w:rsid w:val="004B7EE6"/>
    <w:rsid w:val="004E4920"/>
    <w:rsid w:val="004F2D1B"/>
    <w:rsid w:val="005903E2"/>
    <w:rsid w:val="00686297"/>
    <w:rsid w:val="006A5D9A"/>
    <w:rsid w:val="007720AC"/>
    <w:rsid w:val="007B5D1D"/>
    <w:rsid w:val="007C0ABE"/>
    <w:rsid w:val="007F48C7"/>
    <w:rsid w:val="00816B17"/>
    <w:rsid w:val="008274E1"/>
    <w:rsid w:val="00844A05"/>
    <w:rsid w:val="008A39AA"/>
    <w:rsid w:val="00970178"/>
    <w:rsid w:val="00985043"/>
    <w:rsid w:val="00A30A66"/>
    <w:rsid w:val="00A8005C"/>
    <w:rsid w:val="00AB6BF9"/>
    <w:rsid w:val="00B5090E"/>
    <w:rsid w:val="00B60F3A"/>
    <w:rsid w:val="00B646FF"/>
    <w:rsid w:val="00B952F1"/>
    <w:rsid w:val="00BF0E01"/>
    <w:rsid w:val="00C16F63"/>
    <w:rsid w:val="00C74448"/>
    <w:rsid w:val="00CE1944"/>
    <w:rsid w:val="00CF1FA9"/>
    <w:rsid w:val="00D42917"/>
    <w:rsid w:val="00D51F39"/>
    <w:rsid w:val="00DC56AB"/>
    <w:rsid w:val="00E01E45"/>
    <w:rsid w:val="00E9472A"/>
    <w:rsid w:val="00ED4602"/>
    <w:rsid w:val="00F15A42"/>
    <w:rsid w:val="00F76799"/>
    <w:rsid w:val="0A453A5D"/>
    <w:rsid w:val="0F25290C"/>
    <w:rsid w:val="14293494"/>
    <w:rsid w:val="1589E39D"/>
    <w:rsid w:val="1CE41EAE"/>
    <w:rsid w:val="22A66C94"/>
    <w:rsid w:val="23CE60AB"/>
    <w:rsid w:val="265EB7B1"/>
    <w:rsid w:val="2CCF0F9E"/>
    <w:rsid w:val="3720B8EA"/>
    <w:rsid w:val="3772C755"/>
    <w:rsid w:val="3E0FB7D7"/>
    <w:rsid w:val="3E87DE6E"/>
    <w:rsid w:val="3EEF88ED"/>
    <w:rsid w:val="3FF144FC"/>
    <w:rsid w:val="40869E22"/>
    <w:rsid w:val="423D4A7E"/>
    <w:rsid w:val="4C5B719C"/>
    <w:rsid w:val="4D75605C"/>
    <w:rsid w:val="4DCF7821"/>
    <w:rsid w:val="5107C12A"/>
    <w:rsid w:val="51EC9ECC"/>
    <w:rsid w:val="63548F2D"/>
    <w:rsid w:val="652B6537"/>
    <w:rsid w:val="6D4DF830"/>
    <w:rsid w:val="6ED90157"/>
    <w:rsid w:val="7ADF3674"/>
    <w:rsid w:val="7CACA07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9DF4"/>
  <w15:chartTrackingRefBased/>
  <w15:docId w15:val="{C5822DB1-CC79-4A88-9273-6E73A6E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7F48C7"/>
    <w:pPr>
      <w:spacing w:after="0" w:line="288" w:lineRule="auto"/>
    </w:pPr>
    <w:rPr>
      <w:rFonts w:ascii="Arial" w:hAnsi="Arial" w:eastAsia="Times New Roman" w:cs="Times New Roman"/>
      <w:sz w:val="20"/>
      <w:szCs w:val="24"/>
      <w:lang w:eastAsia="nl-NL"/>
    </w:rPr>
  </w:style>
  <w:style w:type="paragraph" w:styleId="Kop1">
    <w:name w:val="heading 1"/>
    <w:basedOn w:val="Standaard"/>
    <w:next w:val="Standaard"/>
    <w:link w:val="Kop1Char"/>
    <w:qFormat/>
    <w:rsid w:val="007F48C7"/>
    <w:pPr>
      <w:keepNext/>
      <w:numPr>
        <w:numId w:val="5"/>
      </w:numPr>
      <w:spacing w:before="240" w:after="60"/>
      <w:outlineLvl w:val="0"/>
    </w:pPr>
    <w:rPr>
      <w:rFonts w:cs="Arial"/>
      <w:b/>
      <w:bCs/>
      <w:kern w:val="32"/>
      <w:sz w:val="28"/>
      <w:szCs w:val="28"/>
    </w:rPr>
  </w:style>
  <w:style w:type="paragraph" w:styleId="Kop2">
    <w:name w:val="heading 2"/>
    <w:basedOn w:val="Standaard"/>
    <w:next w:val="Standaard"/>
    <w:link w:val="Kop2Char"/>
    <w:autoRedefine/>
    <w:qFormat/>
    <w:rsid w:val="007F48C7"/>
    <w:pPr>
      <w:keepNext/>
      <w:numPr>
        <w:ilvl w:val="1"/>
        <w:numId w:val="5"/>
      </w:numPr>
      <w:spacing w:before="240" w:after="60"/>
      <w:ind w:left="0"/>
      <w:outlineLvl w:val="1"/>
    </w:pPr>
    <w:rPr>
      <w:rFonts w:cs="Arial"/>
      <w:b/>
      <w:bCs/>
      <w:szCs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link w:val="Kop1"/>
    <w:uiPriority w:val="1"/>
    <w:rsid w:val="4C5B719C"/>
    <w:rPr>
      <w:rFonts w:ascii="Arial" w:hAnsi="Arial" w:eastAsia="Times New Roman" w:cs="Arial"/>
      <w:b/>
      <w:bCs/>
      <w:sz w:val="28"/>
      <w:szCs w:val="28"/>
      <w:lang w:eastAsia="nl-NL"/>
    </w:rPr>
  </w:style>
  <w:style w:type="character" w:styleId="Kop2Char" w:customStyle="1">
    <w:name w:val="Kop 2 Char"/>
    <w:link w:val="Kop2"/>
    <w:uiPriority w:val="1"/>
    <w:rsid w:val="4C5B719C"/>
    <w:rPr>
      <w:rFonts w:ascii="Arial" w:hAnsi="Arial" w:eastAsia="Times New Roman" w:cs="Arial"/>
      <w:b/>
      <w:bCs/>
      <w:sz w:val="20"/>
      <w:szCs w:val="20"/>
      <w:lang w:eastAsia="nl-NL"/>
    </w:rPr>
  </w:style>
  <w:style w:type="paragraph" w:styleId="Lijstalinea">
    <w:name w:val="List Paragraph"/>
    <w:aliases w:val="-_BOMW"/>
    <w:basedOn w:val="Standaard"/>
    <w:link w:val="LijstalineaChar"/>
    <w:uiPriority w:val="34"/>
    <w:qFormat/>
    <w:rsid w:val="007F48C7"/>
    <w:pPr>
      <w:ind w:left="720"/>
      <w:contextualSpacing/>
    </w:pPr>
  </w:style>
  <w:style w:type="character" w:styleId="LijstalineaChar" w:customStyle="1">
    <w:name w:val="Lijstalinea Char"/>
    <w:aliases w:val="-_BOMW Char"/>
    <w:link w:val="Lijstalinea"/>
    <w:uiPriority w:val="34"/>
    <w:rsid w:val="4C5B719C"/>
    <w:rPr>
      <w:rFonts w:ascii="Arial" w:hAnsi="Arial" w:eastAsia="Times New Roman" w:cs="Times New Roman"/>
      <w:sz w:val="20"/>
      <w:szCs w:val="20"/>
      <w:lang w:eastAsia="nl-NL"/>
    </w:rPr>
  </w:style>
  <w:style w:type="paragraph" w:styleId="Koptekst">
    <w:name w:val="header"/>
    <w:basedOn w:val="Standaard"/>
    <w:link w:val="KoptekstChar"/>
    <w:uiPriority w:val="99"/>
    <w:unhideWhenUsed/>
    <w:rsid w:val="007F48C7"/>
    <w:pPr>
      <w:tabs>
        <w:tab w:val="center" w:pos="4536"/>
        <w:tab w:val="right" w:pos="9072"/>
      </w:tabs>
      <w:spacing w:line="240" w:lineRule="auto"/>
    </w:pPr>
  </w:style>
  <w:style w:type="character" w:styleId="KoptekstChar" w:customStyle="1">
    <w:name w:val="Koptekst Char"/>
    <w:link w:val="Koptekst"/>
    <w:uiPriority w:val="99"/>
    <w:rsid w:val="4C5B719C"/>
    <w:rPr>
      <w:rFonts w:ascii="Arial" w:hAnsi="Arial" w:eastAsia="Times New Roman" w:cs="Times New Roman"/>
      <w:sz w:val="20"/>
      <w:szCs w:val="20"/>
      <w:lang w:eastAsia="nl-NL"/>
    </w:rPr>
  </w:style>
  <w:style w:type="paragraph" w:styleId="Voettekst">
    <w:name w:val="footer"/>
    <w:basedOn w:val="Standaard"/>
    <w:link w:val="VoettekstChar"/>
    <w:unhideWhenUsed/>
    <w:rsid w:val="007F48C7"/>
    <w:pPr>
      <w:tabs>
        <w:tab w:val="center" w:pos="4536"/>
        <w:tab w:val="right" w:pos="9072"/>
      </w:tabs>
      <w:spacing w:line="240" w:lineRule="auto"/>
    </w:pPr>
  </w:style>
  <w:style w:type="character" w:styleId="VoettekstChar" w:customStyle="1">
    <w:name w:val="Voettekst Char"/>
    <w:link w:val="Voettekst"/>
    <w:uiPriority w:val="1"/>
    <w:rsid w:val="4C5B719C"/>
    <w:rPr>
      <w:rFonts w:ascii="Arial" w:hAnsi="Arial" w:eastAsia="Times New Roman" w:cs="Times New Roman"/>
      <w:sz w:val="20"/>
      <w:szCs w:val="20"/>
      <w:lang w:eastAsia="nl-NL"/>
    </w:rPr>
  </w:style>
  <w:style w:type="character" w:styleId="Paginanummer">
    <w:name w:val="page number"/>
    <w:uiPriority w:val="1"/>
    <w:rsid w:val="4C5B719C"/>
  </w:style>
  <w:style w:type="paragraph" w:styleId="Default" w:customStyle="1">
    <w:name w:val="Default"/>
    <w:rsid w:val="00844A05"/>
    <w:pPr>
      <w:autoSpaceDE w:val="0"/>
      <w:autoSpaceDN w:val="0"/>
      <w:adjustRightInd w:val="0"/>
      <w:spacing w:after="0" w:line="240" w:lineRule="auto"/>
    </w:pPr>
    <w:rPr>
      <w:rFonts w:ascii="Arial" w:hAnsi="Arial" w:eastAsia="Times New Roman" w:cs="Arial"/>
      <w:color w:val="000000"/>
      <w:sz w:val="24"/>
      <w:szCs w:val="24"/>
      <w:lang w:eastAsia="nl-NL"/>
    </w:rPr>
  </w:style>
  <w:style w:type="paragraph" w:styleId="Revisie">
    <w:name w:val="Revision"/>
    <w:hidden/>
    <w:uiPriority w:val="99"/>
    <w:semiHidden/>
    <w:rsid w:val="00E01E45"/>
    <w:pPr>
      <w:spacing w:after="0" w:line="240" w:lineRule="auto"/>
    </w:pPr>
    <w:rPr>
      <w:rFonts w:ascii="Arial" w:hAnsi="Arial" w:eastAsia="Times New Roman" w:cs="Times New Roman"/>
      <w:sz w:val="20"/>
      <w:szCs w:val="24"/>
      <w:lang w:eastAsia="nl-NL"/>
    </w:rPr>
  </w:style>
  <w:style w:type="character" w:styleId="Hyperlink">
    <w:name w:val="Hyperlink"/>
    <w:uiPriority w:val="99"/>
    <w:unhideWhenUsed/>
    <w:rsid w:val="4C5B719C"/>
    <w:rPr>
      <w:color w:val="0563C1"/>
      <w:u w:val="single"/>
    </w:rPr>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facturen@Zuidplas.nl"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C42DC77F7DDC4A9C490B84EA09CD29" ma:contentTypeVersion="15" ma:contentTypeDescription="Een nieuw document maken." ma:contentTypeScope="" ma:versionID="21bcf649d6f43d43ec9756c9d68df598">
  <xsd:schema xmlns:xsd="http://www.w3.org/2001/XMLSchema" xmlns:xs="http://www.w3.org/2001/XMLSchema" xmlns:p="http://schemas.microsoft.com/office/2006/metadata/properties" xmlns:ns2="7689f74e-a94c-4603-ab59-47d93004a872" xmlns:ns3="db85347e-27f6-4465-9528-0ebecb973145" targetNamespace="http://schemas.microsoft.com/office/2006/metadata/properties" ma:root="true" ma:fieldsID="bef6383557c4efce8c1796c2fa154ef6" ns2:_="" ns3:_="">
    <xsd:import namespace="7689f74e-a94c-4603-ab59-47d93004a872"/>
    <xsd:import namespace="db85347e-27f6-4465-9528-0ebecb9731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9f74e-a94c-4603-ab59-47d93004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e207968-9540-4f83-b825-3fa60fdd785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pprovalAssignedTo" ma:index="19" nillable="true" ma:displayName="Goedkeurd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0" nillable="true" ma:displayName="Antwoord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1" nillable="true" ma:displayName="Goedkeuring auteu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2" nillable="true" ma:displayName="Goedkeurings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85347e-27f6-4465-9528-0ebecb9731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ae05bc-f465-435c-b590-2d4d4aa709c1}" ma:internalName="TaxCatchAll" ma:showField="CatchAllData" ma:web="db85347e-27f6-4465-9528-0ebecb9731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b85347e-27f6-4465-9528-0ebecb973145" xsi:nil="true"/>
    <lcf76f155ced4ddcb4097134ff3c332f xmlns="7689f74e-a94c-4603-ab59-47d93004a872">
      <Terms xmlns="http://schemas.microsoft.com/office/infopath/2007/PartnerControls"/>
    </lcf76f155ced4ddcb4097134ff3c332f>
    <_ApprovalAssignedTo xmlns="7689f74e-a94c-4603-ab59-47d93004a872">
      <UserInfo>
        <DisplayName/>
        <AccountId xsi:nil="true"/>
        <AccountType/>
      </UserInfo>
    </_ApprovalAssignedTo>
    <_ApprovalRespondedBy xmlns="7689f74e-a94c-4603-ab59-47d93004a872">
      <UserInfo>
        <DisplayName/>
        <AccountId xsi:nil="true"/>
        <AccountType/>
      </UserInfo>
    </_ApprovalRespondedBy>
    <_ApprovalStatus xmlns="7689f74e-a94c-4603-ab59-47d93004a872">0</_ApprovalStatus>
  </documentManagement>
</p:properties>
</file>

<file path=customXml/itemProps1.xml><?xml version="1.0" encoding="utf-8"?>
<ds:datastoreItem xmlns:ds="http://schemas.openxmlformats.org/officeDocument/2006/customXml" ds:itemID="{3036D373-A8DD-473F-91CD-424E982024BD}">
  <ds:schemaRefs>
    <ds:schemaRef ds:uri="http://schemas.microsoft.com/sharepoint/v3/contenttype/forms"/>
  </ds:schemaRefs>
</ds:datastoreItem>
</file>

<file path=customXml/itemProps2.xml><?xml version="1.0" encoding="utf-8"?>
<ds:datastoreItem xmlns:ds="http://schemas.openxmlformats.org/officeDocument/2006/customXml" ds:itemID="{FCB34CDD-8552-4086-AD72-E4D06A124DFE}"/>
</file>

<file path=customXml/itemProps3.xml><?xml version="1.0" encoding="utf-8"?>
<ds:datastoreItem xmlns:ds="http://schemas.openxmlformats.org/officeDocument/2006/customXml" ds:itemID="{9823F3AE-C94E-408E-9861-23EB63A6DA36}">
  <ds:schemaRefs>
    <ds:schemaRef ds:uri="http://schemas.openxmlformats.org/officeDocument/2006/bibliography"/>
  </ds:schemaRefs>
</ds:datastoreItem>
</file>

<file path=customXml/itemProps4.xml><?xml version="1.0" encoding="utf-8"?>
<ds:datastoreItem xmlns:ds="http://schemas.openxmlformats.org/officeDocument/2006/customXml" ds:itemID="{7A7B6297-B639-48FC-B37F-EAD77C857FFF}">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ron.vandalen@zuidplas.nl</dc:creator>
  <cp:keywords/>
  <dc:description/>
  <cp:lastModifiedBy>Rens Speksnijder</cp:lastModifiedBy>
  <cp:revision>5</cp:revision>
  <dcterms:created xsi:type="dcterms:W3CDTF">2026-07-17T12:44:00Z</dcterms:created>
  <dcterms:modified xsi:type="dcterms:W3CDTF">2026-07-17T12:45:41Z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0x01010040C42DC77F7DDC4A9C490B84EA09CD29</vt:lpwstr>
  </property>
</Properties>
</file>